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740E5" w14:textId="77777777" w:rsidR="00E50A4D" w:rsidRDefault="00E50A4D"/>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4820"/>
        <w:gridCol w:w="5528"/>
      </w:tblGrid>
      <w:tr w:rsidR="00C36766" w:rsidRPr="00C36766" w14:paraId="7C0B98FF" w14:textId="77777777" w:rsidTr="00DD749D">
        <w:trPr>
          <w:cantSplit/>
        </w:trPr>
        <w:tc>
          <w:tcPr>
            <w:tcW w:w="4820" w:type="dxa"/>
            <w:tcBorders>
              <w:bottom w:val="single" w:sz="12" w:space="0" w:color="auto"/>
            </w:tcBorders>
          </w:tcPr>
          <w:p w14:paraId="732B6350" w14:textId="77777777" w:rsidR="00C36766" w:rsidRPr="00C36766" w:rsidRDefault="00C36766" w:rsidP="00DD749D">
            <w:pPr>
              <w:spacing w:after="120"/>
              <w:rPr>
                <w:rFonts w:ascii="Arial" w:hAnsi="Arial" w:cs="Arial"/>
                <w:sz w:val="48"/>
                <w:szCs w:val="48"/>
              </w:rPr>
            </w:pPr>
            <w:r w:rsidRPr="00C36766">
              <w:rPr>
                <w:rFonts w:ascii="Arial" w:hAnsi="Arial" w:cs="Arial"/>
                <w:b/>
                <w:sz w:val="48"/>
                <w:szCs w:val="48"/>
              </w:rPr>
              <w:t>Position Description</w:t>
            </w:r>
          </w:p>
        </w:tc>
        <w:tc>
          <w:tcPr>
            <w:tcW w:w="5528" w:type="dxa"/>
            <w:vMerge w:val="restart"/>
          </w:tcPr>
          <w:p w14:paraId="628DFC0E" w14:textId="77777777" w:rsidR="00C36766" w:rsidRPr="00C36766" w:rsidRDefault="00C36766" w:rsidP="00DD749D">
            <w:pPr>
              <w:jc w:val="right"/>
              <w:rPr>
                <w:rFonts w:ascii="Arial" w:hAnsi="Arial" w:cs="Arial"/>
              </w:rPr>
            </w:pPr>
            <w:r w:rsidRPr="00C36766">
              <w:rPr>
                <w:rFonts w:cs="Arial"/>
                <w:b/>
                <w:noProof/>
                <w:lang w:bidi="ar-SA"/>
              </w:rPr>
              <w:drawing>
                <wp:inline distT="0" distB="0" distL="0" distR="0" wp14:anchorId="7DC682C6" wp14:editId="4393E8C1">
                  <wp:extent cx="1621790" cy="6680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1790" cy="668020"/>
                          </a:xfrm>
                          <a:prstGeom prst="rect">
                            <a:avLst/>
                          </a:prstGeom>
                          <a:noFill/>
                          <a:ln>
                            <a:noFill/>
                          </a:ln>
                        </pic:spPr>
                      </pic:pic>
                    </a:graphicData>
                  </a:graphic>
                </wp:inline>
              </w:drawing>
            </w:r>
          </w:p>
        </w:tc>
      </w:tr>
      <w:tr w:rsidR="00C36766" w:rsidRPr="00C36766" w14:paraId="72A9A488" w14:textId="77777777" w:rsidTr="00DD749D">
        <w:trPr>
          <w:cantSplit/>
        </w:trPr>
        <w:tc>
          <w:tcPr>
            <w:tcW w:w="4820" w:type="dxa"/>
            <w:tcBorders>
              <w:top w:val="single" w:sz="12" w:space="0" w:color="auto"/>
            </w:tcBorders>
          </w:tcPr>
          <w:p w14:paraId="63F96EC3" w14:textId="77777777" w:rsidR="00C36766" w:rsidRPr="00C36766" w:rsidRDefault="00C36766" w:rsidP="00DD749D">
            <w:pPr>
              <w:rPr>
                <w:rFonts w:ascii="Arial" w:hAnsi="Arial" w:cs="Arial"/>
              </w:rPr>
            </w:pPr>
          </w:p>
        </w:tc>
        <w:tc>
          <w:tcPr>
            <w:tcW w:w="5528" w:type="dxa"/>
            <w:vMerge/>
          </w:tcPr>
          <w:p w14:paraId="731B200E" w14:textId="77777777" w:rsidR="00C36766" w:rsidRPr="00C36766" w:rsidRDefault="00C36766" w:rsidP="00DD749D">
            <w:pPr>
              <w:jc w:val="right"/>
              <w:rPr>
                <w:rFonts w:ascii="Arial" w:hAnsi="Arial" w:cs="Arial"/>
                <w:b/>
              </w:rPr>
            </w:pPr>
          </w:p>
        </w:tc>
      </w:tr>
    </w:tbl>
    <w:p w14:paraId="7119E186" w14:textId="77777777" w:rsidR="00C36766" w:rsidRPr="00C36766" w:rsidRDefault="00C36766" w:rsidP="00C36766">
      <w:pPr>
        <w:rPr>
          <w:rFonts w:cs="Arial"/>
        </w:rPr>
      </w:pPr>
    </w:p>
    <w:tbl>
      <w:tblPr>
        <w:tblStyle w:val="TableGrid"/>
        <w:tblW w:w="0" w:type="auto"/>
        <w:tblInd w:w="108" w:type="dxa"/>
        <w:tblLayout w:type="fixed"/>
        <w:tblLook w:val="00A0" w:firstRow="1" w:lastRow="0" w:firstColumn="1" w:lastColumn="0" w:noHBand="0" w:noVBand="0"/>
      </w:tblPr>
      <w:tblGrid>
        <w:gridCol w:w="2268"/>
        <w:gridCol w:w="709"/>
        <w:gridCol w:w="2977"/>
        <w:gridCol w:w="1134"/>
        <w:gridCol w:w="3118"/>
      </w:tblGrid>
      <w:tr w:rsidR="00C36766" w:rsidRPr="00C36766" w14:paraId="0D8A3B12" w14:textId="77777777" w:rsidTr="00DD749D">
        <w:trPr>
          <w:cantSplit/>
        </w:trPr>
        <w:tc>
          <w:tcPr>
            <w:tcW w:w="2268" w:type="dxa"/>
            <w:shd w:val="clear" w:color="auto" w:fill="D9D9D9"/>
          </w:tcPr>
          <w:p w14:paraId="08EDD615" w14:textId="77777777" w:rsidR="00C36766" w:rsidRPr="00C36766" w:rsidRDefault="00C36766" w:rsidP="00DD749D">
            <w:pPr>
              <w:pStyle w:val="TableText"/>
              <w:rPr>
                <w:rFonts w:ascii="Arial" w:hAnsi="Arial" w:cs="Arial"/>
                <w:b/>
              </w:rPr>
            </w:pPr>
            <w:r w:rsidRPr="00C36766">
              <w:rPr>
                <w:rFonts w:ascii="Arial" w:hAnsi="Arial" w:cs="Arial"/>
                <w:b/>
              </w:rPr>
              <w:t>Position Title</w:t>
            </w:r>
          </w:p>
        </w:tc>
        <w:tc>
          <w:tcPr>
            <w:tcW w:w="7938" w:type="dxa"/>
            <w:gridSpan w:val="4"/>
          </w:tcPr>
          <w:p w14:paraId="273A959C" w14:textId="1A9BE983" w:rsidR="00C36766" w:rsidRPr="00226FB5" w:rsidRDefault="00914627" w:rsidP="00F16083">
            <w:pPr>
              <w:pStyle w:val="TableText"/>
              <w:rPr>
                <w:rFonts w:ascii="Arial" w:hAnsi="Arial" w:cs="Arial"/>
                <w:bCs/>
              </w:rPr>
            </w:pPr>
            <w:r>
              <w:rPr>
                <w:rFonts w:ascii="Arial" w:hAnsi="Arial" w:cs="Arial"/>
                <w:bCs/>
              </w:rPr>
              <w:t>Principal</w:t>
            </w:r>
            <w:r w:rsidR="008F4FC4" w:rsidRPr="00226FB5">
              <w:rPr>
                <w:rFonts w:ascii="Arial" w:hAnsi="Arial" w:cs="Arial"/>
                <w:bCs/>
              </w:rPr>
              <w:t xml:space="preserve"> Advisor</w:t>
            </w:r>
            <w:r w:rsidR="00F16083">
              <w:rPr>
                <w:rFonts w:ascii="Arial" w:hAnsi="Arial" w:cs="Arial"/>
                <w:bCs/>
              </w:rPr>
              <w:t>,</w:t>
            </w:r>
            <w:r w:rsidR="00F16083" w:rsidRPr="00226FB5">
              <w:rPr>
                <w:rFonts w:ascii="Arial" w:hAnsi="Arial" w:cs="Arial"/>
                <w:bCs/>
              </w:rPr>
              <w:t xml:space="preserve"> Health &amp; Safety</w:t>
            </w:r>
          </w:p>
        </w:tc>
      </w:tr>
      <w:tr w:rsidR="00C36766" w:rsidRPr="00C36766" w14:paraId="2E44B55D" w14:textId="77777777" w:rsidTr="00DD749D">
        <w:trPr>
          <w:cantSplit/>
        </w:trPr>
        <w:tc>
          <w:tcPr>
            <w:tcW w:w="2268" w:type="dxa"/>
            <w:shd w:val="clear" w:color="auto" w:fill="D9D9D9"/>
          </w:tcPr>
          <w:p w14:paraId="0B08DA43" w14:textId="77777777" w:rsidR="00C36766" w:rsidRPr="00C36766" w:rsidRDefault="00C36766" w:rsidP="00DD749D">
            <w:pPr>
              <w:pStyle w:val="TableText"/>
              <w:rPr>
                <w:rFonts w:ascii="Arial" w:hAnsi="Arial" w:cs="Arial"/>
                <w:b/>
              </w:rPr>
            </w:pPr>
            <w:r w:rsidRPr="00C36766">
              <w:rPr>
                <w:rFonts w:ascii="Arial" w:hAnsi="Arial" w:cs="Arial"/>
                <w:b/>
              </w:rPr>
              <w:t>Team</w:t>
            </w:r>
          </w:p>
        </w:tc>
        <w:tc>
          <w:tcPr>
            <w:tcW w:w="7938" w:type="dxa"/>
            <w:gridSpan w:val="4"/>
          </w:tcPr>
          <w:p w14:paraId="6DAA0312" w14:textId="4A6F2F31" w:rsidR="00C36766" w:rsidRPr="00226FB5" w:rsidRDefault="009D7EA6" w:rsidP="00DD749D">
            <w:pPr>
              <w:pStyle w:val="TableText"/>
              <w:rPr>
                <w:rFonts w:ascii="Arial" w:hAnsi="Arial" w:cs="Arial"/>
                <w:bCs/>
              </w:rPr>
            </w:pPr>
            <w:r>
              <w:rPr>
                <w:rFonts w:ascii="Arial" w:hAnsi="Arial" w:cs="Arial"/>
                <w:bCs/>
              </w:rPr>
              <w:t>Facilities and Business Services</w:t>
            </w:r>
          </w:p>
        </w:tc>
      </w:tr>
      <w:tr w:rsidR="00C36766" w:rsidRPr="00C36766" w14:paraId="17ECCF0D" w14:textId="77777777" w:rsidTr="00DD749D">
        <w:trPr>
          <w:cantSplit/>
        </w:trPr>
        <w:tc>
          <w:tcPr>
            <w:tcW w:w="2268" w:type="dxa"/>
            <w:shd w:val="clear" w:color="auto" w:fill="D9D9D9"/>
          </w:tcPr>
          <w:p w14:paraId="1CEE72F3" w14:textId="77777777" w:rsidR="00C36766" w:rsidRPr="00C36766" w:rsidRDefault="00C36766" w:rsidP="00DD749D">
            <w:pPr>
              <w:pStyle w:val="TableText"/>
              <w:rPr>
                <w:rFonts w:ascii="Arial" w:hAnsi="Arial" w:cs="Arial"/>
                <w:b/>
              </w:rPr>
            </w:pPr>
            <w:r w:rsidRPr="00C36766">
              <w:rPr>
                <w:rFonts w:ascii="Arial" w:hAnsi="Arial" w:cs="Arial"/>
                <w:b/>
              </w:rPr>
              <w:t>Business Unit</w:t>
            </w:r>
          </w:p>
        </w:tc>
        <w:tc>
          <w:tcPr>
            <w:tcW w:w="7938" w:type="dxa"/>
            <w:gridSpan w:val="4"/>
          </w:tcPr>
          <w:p w14:paraId="02BC96AB" w14:textId="3E220B83" w:rsidR="00C36766" w:rsidRPr="00226FB5" w:rsidRDefault="008F4FC4" w:rsidP="00DD749D">
            <w:pPr>
              <w:pStyle w:val="TableText"/>
              <w:rPr>
                <w:rFonts w:ascii="Arial" w:hAnsi="Arial" w:cs="Arial"/>
                <w:bCs/>
              </w:rPr>
            </w:pPr>
            <w:r w:rsidRPr="00226FB5">
              <w:rPr>
                <w:rFonts w:ascii="Arial" w:hAnsi="Arial" w:cs="Arial"/>
                <w:bCs/>
              </w:rPr>
              <w:t>People and Transformation</w:t>
            </w:r>
          </w:p>
        </w:tc>
      </w:tr>
      <w:tr w:rsidR="00C36766" w:rsidRPr="00C36766" w14:paraId="51F7AD24" w14:textId="77777777" w:rsidTr="00DD749D">
        <w:trPr>
          <w:cantSplit/>
        </w:trPr>
        <w:tc>
          <w:tcPr>
            <w:tcW w:w="2268" w:type="dxa"/>
            <w:shd w:val="clear" w:color="auto" w:fill="D9D9D9"/>
          </w:tcPr>
          <w:p w14:paraId="72CFF0A7" w14:textId="77777777" w:rsidR="00C36766" w:rsidRPr="00C36766" w:rsidRDefault="00C36766" w:rsidP="00DD749D">
            <w:pPr>
              <w:pStyle w:val="TableText"/>
              <w:rPr>
                <w:rFonts w:ascii="Arial" w:hAnsi="Arial" w:cs="Arial"/>
                <w:b/>
              </w:rPr>
            </w:pPr>
            <w:r w:rsidRPr="00C36766">
              <w:rPr>
                <w:rFonts w:ascii="Arial" w:hAnsi="Arial" w:cs="Arial"/>
                <w:b/>
              </w:rPr>
              <w:t>Location</w:t>
            </w:r>
          </w:p>
        </w:tc>
        <w:tc>
          <w:tcPr>
            <w:tcW w:w="7938" w:type="dxa"/>
            <w:gridSpan w:val="4"/>
          </w:tcPr>
          <w:p w14:paraId="2E5019B9" w14:textId="77B152EE" w:rsidR="00C36766" w:rsidRPr="00226FB5" w:rsidRDefault="008F4FC4" w:rsidP="00DD749D">
            <w:pPr>
              <w:pStyle w:val="TableText"/>
              <w:rPr>
                <w:rFonts w:ascii="Arial" w:hAnsi="Arial" w:cs="Arial"/>
                <w:bCs/>
              </w:rPr>
            </w:pPr>
            <w:r w:rsidRPr="00226FB5">
              <w:rPr>
                <w:rFonts w:ascii="Arial" w:hAnsi="Arial" w:cs="Arial"/>
                <w:bCs/>
              </w:rPr>
              <w:t>Wellington</w:t>
            </w:r>
          </w:p>
        </w:tc>
      </w:tr>
      <w:tr w:rsidR="00C36766" w:rsidRPr="00C36766" w14:paraId="1E5D1DC1" w14:textId="77777777" w:rsidTr="007C6D17">
        <w:trPr>
          <w:cantSplit/>
        </w:trPr>
        <w:tc>
          <w:tcPr>
            <w:tcW w:w="2268" w:type="dxa"/>
            <w:shd w:val="clear" w:color="auto" w:fill="D9D9D9" w:themeFill="background1" w:themeFillShade="D9"/>
          </w:tcPr>
          <w:p w14:paraId="25BA1D3D" w14:textId="77777777" w:rsidR="00C36766" w:rsidRPr="007C6D17" w:rsidRDefault="00C36766" w:rsidP="00DD749D">
            <w:pPr>
              <w:pStyle w:val="TableText"/>
              <w:rPr>
                <w:rFonts w:ascii="Arial" w:hAnsi="Arial" w:cs="Arial"/>
                <w:b/>
              </w:rPr>
            </w:pPr>
            <w:r w:rsidRPr="007C6D17">
              <w:rPr>
                <w:rFonts w:ascii="Arial" w:hAnsi="Arial" w:cs="Arial"/>
                <w:b/>
              </w:rPr>
              <w:t>Work Role Group</w:t>
            </w:r>
          </w:p>
        </w:tc>
        <w:tc>
          <w:tcPr>
            <w:tcW w:w="3686" w:type="dxa"/>
            <w:gridSpan w:val="2"/>
            <w:shd w:val="clear" w:color="auto" w:fill="FFFFFF" w:themeFill="background1"/>
          </w:tcPr>
          <w:p w14:paraId="70007ADC" w14:textId="1775F1BC" w:rsidR="00C36766" w:rsidRPr="00226FB5" w:rsidRDefault="008F4FC4" w:rsidP="00DD749D">
            <w:pPr>
              <w:pStyle w:val="TableText"/>
              <w:rPr>
                <w:rFonts w:ascii="Arial" w:hAnsi="Arial" w:cs="Arial"/>
                <w:bCs/>
              </w:rPr>
            </w:pPr>
            <w:r w:rsidRPr="00226FB5">
              <w:rPr>
                <w:rFonts w:ascii="Arial" w:hAnsi="Arial" w:cs="Arial"/>
                <w:bCs/>
              </w:rPr>
              <w:t>Advisor</w:t>
            </w:r>
          </w:p>
        </w:tc>
        <w:tc>
          <w:tcPr>
            <w:tcW w:w="1134" w:type="dxa"/>
            <w:tcBorders>
              <w:bottom w:val="single" w:sz="4" w:space="0" w:color="auto"/>
            </w:tcBorders>
            <w:shd w:val="clear" w:color="auto" w:fill="D9D9D9" w:themeFill="background1" w:themeFillShade="D9"/>
          </w:tcPr>
          <w:p w14:paraId="5D76319F" w14:textId="77777777" w:rsidR="00C36766" w:rsidRPr="00226FB5" w:rsidRDefault="00C36766" w:rsidP="00DD749D">
            <w:pPr>
              <w:pStyle w:val="TableText"/>
              <w:rPr>
                <w:rFonts w:ascii="Arial" w:hAnsi="Arial" w:cs="Arial"/>
                <w:b/>
              </w:rPr>
            </w:pPr>
            <w:r w:rsidRPr="00226FB5">
              <w:rPr>
                <w:rFonts w:ascii="Arial" w:hAnsi="Arial" w:cs="Arial"/>
                <w:b/>
              </w:rPr>
              <w:t>Job Band</w:t>
            </w:r>
          </w:p>
        </w:tc>
        <w:tc>
          <w:tcPr>
            <w:tcW w:w="3118" w:type="dxa"/>
            <w:shd w:val="clear" w:color="auto" w:fill="FFFFFF" w:themeFill="background1"/>
          </w:tcPr>
          <w:p w14:paraId="1A5A8997" w14:textId="6FB9EAC3" w:rsidR="00C36766" w:rsidRPr="00226FB5" w:rsidRDefault="00914627" w:rsidP="00DD749D">
            <w:pPr>
              <w:pStyle w:val="TableText"/>
              <w:rPr>
                <w:rFonts w:ascii="Arial" w:hAnsi="Arial" w:cs="Arial"/>
                <w:bCs/>
              </w:rPr>
            </w:pPr>
            <w:r>
              <w:rPr>
                <w:rFonts w:ascii="Arial" w:hAnsi="Arial" w:cs="Arial"/>
                <w:bCs/>
              </w:rPr>
              <w:t>19</w:t>
            </w:r>
          </w:p>
        </w:tc>
      </w:tr>
      <w:tr w:rsidR="00C36766" w:rsidRPr="00C36766" w14:paraId="0A70DAAA" w14:textId="77777777" w:rsidTr="007C6D17">
        <w:trPr>
          <w:cantSplit/>
        </w:trPr>
        <w:tc>
          <w:tcPr>
            <w:tcW w:w="2268" w:type="dxa"/>
            <w:shd w:val="clear" w:color="auto" w:fill="D9D9D9" w:themeFill="background1" w:themeFillShade="D9"/>
          </w:tcPr>
          <w:p w14:paraId="754B3BEB" w14:textId="77777777" w:rsidR="00C36766" w:rsidRPr="007C6D17" w:rsidRDefault="00C36766" w:rsidP="00DD749D">
            <w:pPr>
              <w:pStyle w:val="TableText"/>
              <w:rPr>
                <w:rFonts w:ascii="Arial" w:hAnsi="Arial" w:cs="Arial"/>
                <w:b/>
              </w:rPr>
            </w:pPr>
            <w:r w:rsidRPr="007C6D17">
              <w:rPr>
                <w:rFonts w:ascii="Arial" w:hAnsi="Arial" w:cs="Arial"/>
                <w:b/>
              </w:rPr>
              <w:t>Delegated Authority</w:t>
            </w:r>
          </w:p>
        </w:tc>
        <w:tc>
          <w:tcPr>
            <w:tcW w:w="709" w:type="dxa"/>
            <w:shd w:val="clear" w:color="auto" w:fill="FFFFFF" w:themeFill="background1"/>
          </w:tcPr>
          <w:p w14:paraId="62469929" w14:textId="77777777" w:rsidR="00C36766" w:rsidRPr="007C6D17" w:rsidRDefault="00C36766" w:rsidP="00DD749D">
            <w:pPr>
              <w:pStyle w:val="TableText"/>
              <w:rPr>
                <w:rFonts w:ascii="Arial" w:hAnsi="Arial" w:cs="Arial"/>
                <w:b/>
                <w:bCs/>
              </w:rPr>
            </w:pPr>
            <w:r w:rsidRPr="007C6D17">
              <w:rPr>
                <w:rFonts w:ascii="Arial" w:hAnsi="Arial" w:cs="Arial"/>
                <w:b/>
                <w:bCs/>
              </w:rPr>
              <w:t>HR</w:t>
            </w:r>
          </w:p>
        </w:tc>
        <w:tc>
          <w:tcPr>
            <w:tcW w:w="2977" w:type="dxa"/>
            <w:shd w:val="clear" w:color="auto" w:fill="FFFFFF" w:themeFill="background1"/>
          </w:tcPr>
          <w:p w14:paraId="496E9E39" w14:textId="000A51D2" w:rsidR="00C36766" w:rsidRPr="007C6D17" w:rsidRDefault="00914627" w:rsidP="00914627">
            <w:pPr>
              <w:pStyle w:val="TableText"/>
              <w:rPr>
                <w:rFonts w:ascii="Arial" w:hAnsi="Arial" w:cs="Arial"/>
                <w:bCs/>
              </w:rPr>
            </w:pPr>
            <w:r>
              <w:rPr>
                <w:rFonts w:ascii="Arial" w:hAnsi="Arial" w:cs="Arial"/>
                <w:bCs/>
              </w:rPr>
              <w:t>nil</w:t>
            </w:r>
          </w:p>
        </w:tc>
        <w:tc>
          <w:tcPr>
            <w:tcW w:w="1134" w:type="dxa"/>
            <w:shd w:val="clear" w:color="auto" w:fill="D9D9D9" w:themeFill="background1" w:themeFillShade="D9"/>
          </w:tcPr>
          <w:p w14:paraId="33B8D2DD" w14:textId="77777777" w:rsidR="00C36766" w:rsidRPr="007C6D17" w:rsidRDefault="00C36766" w:rsidP="00DD749D">
            <w:pPr>
              <w:pStyle w:val="TableText"/>
              <w:rPr>
                <w:rFonts w:ascii="Arial" w:hAnsi="Arial" w:cs="Arial"/>
                <w:b/>
                <w:bCs/>
              </w:rPr>
            </w:pPr>
            <w:r w:rsidRPr="007C6D17">
              <w:rPr>
                <w:rFonts w:ascii="Arial" w:hAnsi="Arial" w:cs="Arial"/>
                <w:b/>
                <w:bCs/>
              </w:rPr>
              <w:t>Finance</w:t>
            </w:r>
          </w:p>
        </w:tc>
        <w:tc>
          <w:tcPr>
            <w:tcW w:w="3118" w:type="dxa"/>
            <w:shd w:val="clear" w:color="auto" w:fill="FFFFFF" w:themeFill="background1"/>
          </w:tcPr>
          <w:p w14:paraId="547E402D" w14:textId="1CA40114" w:rsidR="00C36766" w:rsidRPr="007C6D17" w:rsidRDefault="007C6D17" w:rsidP="00914627">
            <w:pPr>
              <w:pStyle w:val="TableText"/>
              <w:rPr>
                <w:rFonts w:ascii="Arial" w:hAnsi="Arial" w:cs="Arial"/>
                <w:bCs/>
              </w:rPr>
            </w:pPr>
            <w:r w:rsidRPr="007C6D17">
              <w:rPr>
                <w:rFonts w:ascii="Arial" w:hAnsi="Arial" w:cs="Arial"/>
                <w:bCs/>
              </w:rPr>
              <w:t>Level</w:t>
            </w:r>
            <w:r>
              <w:rPr>
                <w:rFonts w:cs="Arial"/>
                <w:bCs/>
              </w:rPr>
              <w:t xml:space="preserve"> </w:t>
            </w:r>
            <w:r w:rsidR="00914627">
              <w:rPr>
                <w:rFonts w:cs="Arial"/>
                <w:bCs/>
              </w:rPr>
              <w:t>4</w:t>
            </w:r>
          </w:p>
        </w:tc>
      </w:tr>
    </w:tbl>
    <w:p w14:paraId="268156D8" w14:textId="77777777" w:rsidR="00C36766" w:rsidRPr="00C36766" w:rsidRDefault="00C36766" w:rsidP="00C36766">
      <w:pPr>
        <w:rPr>
          <w:rFonts w:cs="Arial"/>
        </w:rPr>
      </w:pPr>
    </w:p>
    <w:p w14:paraId="4AED60F4" w14:textId="194C147D" w:rsidR="00C36766" w:rsidRPr="00C36766" w:rsidRDefault="00C36766" w:rsidP="00C36766">
      <w:pPr>
        <w:rPr>
          <w:rFonts w:cs="Arial"/>
        </w:rPr>
      </w:pPr>
      <w:r w:rsidRPr="00C36766">
        <w:rPr>
          <w:rFonts w:cs="Arial"/>
        </w:rPr>
        <w:t xml:space="preserve">The Ministry of Health is the Government’s principal advisor on health and disability policy.  </w:t>
      </w:r>
      <w:r w:rsidR="00820314">
        <w:rPr>
          <w:rFonts w:cs="Arial"/>
        </w:rPr>
        <w:t xml:space="preserve">We are the steward and a leader of the New Zealand Health system. Our aim is to ensure New Zealanders </w:t>
      </w:r>
      <w:r w:rsidR="00820314">
        <w:rPr>
          <w:rFonts w:cs="Arial"/>
          <w:i/>
        </w:rPr>
        <w:t xml:space="preserve">Live Well, Stay Well </w:t>
      </w:r>
      <w:r w:rsidR="00820314">
        <w:rPr>
          <w:rFonts w:cs="Arial"/>
        </w:rPr>
        <w:t xml:space="preserve">and </w:t>
      </w:r>
      <w:r w:rsidR="00820314">
        <w:rPr>
          <w:rFonts w:cs="Arial"/>
          <w:i/>
        </w:rPr>
        <w:t xml:space="preserve">Get </w:t>
      </w:r>
      <w:r w:rsidR="00820314" w:rsidRPr="00820314">
        <w:rPr>
          <w:rFonts w:cs="Arial"/>
          <w:i/>
        </w:rPr>
        <w:t>Well</w:t>
      </w:r>
      <w:r w:rsidR="00820314">
        <w:rPr>
          <w:rFonts w:cs="Arial"/>
        </w:rPr>
        <w:t xml:space="preserve">. </w:t>
      </w:r>
      <w:r w:rsidRPr="00820314">
        <w:rPr>
          <w:rFonts w:cs="Arial"/>
        </w:rPr>
        <w:t>We</w:t>
      </w:r>
      <w:r w:rsidRPr="00C36766">
        <w:rPr>
          <w:rFonts w:cs="Arial"/>
        </w:rPr>
        <w:t xml:space="preserve"> work with health and disability providers </w:t>
      </w:r>
      <w:r w:rsidR="00820314">
        <w:rPr>
          <w:rFonts w:cs="Arial"/>
        </w:rPr>
        <w:t xml:space="preserve">on </w:t>
      </w:r>
      <w:r w:rsidRPr="00C36766">
        <w:rPr>
          <w:rFonts w:cs="Arial"/>
        </w:rPr>
        <w:t xml:space="preserve">a programme of work </w:t>
      </w:r>
      <w:r w:rsidR="00820314">
        <w:rPr>
          <w:rFonts w:cs="Arial"/>
        </w:rPr>
        <w:t xml:space="preserve">across New Zealand </w:t>
      </w:r>
      <w:r w:rsidRPr="00C36766">
        <w:rPr>
          <w:rFonts w:cs="Arial"/>
        </w:rPr>
        <w:t>that supports the Government’s priorities.</w:t>
      </w:r>
    </w:p>
    <w:p w14:paraId="0FAD4B3B" w14:textId="5BD180CA" w:rsidR="007C6D17" w:rsidRPr="00C36766" w:rsidRDefault="007C6D17" w:rsidP="007C6D17">
      <w:pPr>
        <w:pStyle w:val="Heading1"/>
      </w:pPr>
      <w:r>
        <w:t>Business Unit</w:t>
      </w:r>
      <w:r w:rsidRPr="00C36766">
        <w:t xml:space="preserve"> description </w:t>
      </w:r>
    </w:p>
    <w:p w14:paraId="6DDA0051" w14:textId="16BAB211" w:rsidR="008F4FC4" w:rsidRDefault="008F4FC4" w:rsidP="000E68C3">
      <w:pPr>
        <w:rPr>
          <w:lang w:val="en"/>
        </w:rPr>
      </w:pPr>
      <w:r w:rsidRPr="008F4FC4">
        <w:rPr>
          <w:lang w:val="en"/>
        </w:rPr>
        <w:t xml:space="preserve">The People and Transformation business unit is responsible for sector workforce and managing, supporting, and delivering the Ministry’s human resources, internal organisational strategy, facilities, in-house information </w:t>
      </w:r>
      <w:r w:rsidRPr="0058579C">
        <w:rPr>
          <w:lang w:val="en"/>
        </w:rPr>
        <w:t xml:space="preserve">technology strategy, </w:t>
      </w:r>
      <w:r w:rsidR="00820314">
        <w:rPr>
          <w:lang w:val="en"/>
        </w:rPr>
        <w:t xml:space="preserve">protective security, </w:t>
      </w:r>
      <w:r w:rsidRPr="0058579C">
        <w:rPr>
          <w:lang w:val="en"/>
        </w:rPr>
        <w:t>transformation programme and operating model.</w:t>
      </w:r>
    </w:p>
    <w:p w14:paraId="25E9DB5A" w14:textId="77777777" w:rsidR="000E68C3" w:rsidRPr="0058579C" w:rsidRDefault="000E68C3" w:rsidP="000E68C3">
      <w:pPr>
        <w:rPr>
          <w:lang w:val="en"/>
        </w:rPr>
      </w:pPr>
    </w:p>
    <w:p w14:paraId="5F4B037B" w14:textId="77777777" w:rsidR="008F4FC4" w:rsidRPr="0058579C" w:rsidRDefault="008F4FC4" w:rsidP="000E68C3">
      <w:pPr>
        <w:rPr>
          <w:lang w:val="en"/>
        </w:rPr>
      </w:pPr>
      <w:r w:rsidRPr="0058579C">
        <w:rPr>
          <w:lang w:val="en"/>
        </w:rPr>
        <w:t>The groups within People and Transformation are People and Capability, Facilities, Ministry on the Move, Health Workforce, and Employment Relations.</w:t>
      </w:r>
    </w:p>
    <w:p w14:paraId="5C65F95A" w14:textId="2ACF949F" w:rsidR="00C36766" w:rsidRPr="00C36766" w:rsidRDefault="00C36766" w:rsidP="00C36766">
      <w:pPr>
        <w:pStyle w:val="Heading1"/>
      </w:pPr>
      <w:r w:rsidRPr="00C36766">
        <w:t>Group / team description</w:t>
      </w:r>
    </w:p>
    <w:p w14:paraId="3844186B" w14:textId="14659FCE" w:rsidR="008F4FC4" w:rsidRPr="0058579C" w:rsidRDefault="008F4FC4" w:rsidP="000E68C3">
      <w:pPr>
        <w:rPr>
          <w:lang w:val="en"/>
        </w:rPr>
      </w:pPr>
      <w:r w:rsidRPr="0058579C">
        <w:rPr>
          <w:lang w:val="en"/>
        </w:rPr>
        <w:t xml:space="preserve">Facilities and Business Services is </w:t>
      </w:r>
      <w:r w:rsidR="00820314" w:rsidRPr="0058579C">
        <w:rPr>
          <w:lang w:val="en"/>
        </w:rPr>
        <w:t>led</w:t>
      </w:r>
      <w:r w:rsidR="0058579C">
        <w:rPr>
          <w:lang w:val="en"/>
        </w:rPr>
        <w:t xml:space="preserve"> by Group Manager, Operations</w:t>
      </w:r>
      <w:r w:rsidRPr="0058579C">
        <w:rPr>
          <w:lang w:val="en"/>
        </w:rPr>
        <w:t>. The role of Facilities and Business Services is to create an environment that enables our staff and supports the ways we work. Functions that sit with</w:t>
      </w:r>
      <w:r w:rsidR="00820314">
        <w:rPr>
          <w:lang w:val="en"/>
        </w:rPr>
        <w:t>in</w:t>
      </w:r>
      <w:r w:rsidRPr="0058579C">
        <w:rPr>
          <w:lang w:val="en"/>
        </w:rPr>
        <w:t xml:space="preserve"> Facilities and Business Services include Office Services</w:t>
      </w:r>
      <w:r w:rsidR="0058579C">
        <w:rPr>
          <w:lang w:val="en"/>
        </w:rPr>
        <w:t>, Health and Safety</w:t>
      </w:r>
      <w:r w:rsidRPr="0058579C">
        <w:rPr>
          <w:lang w:val="en"/>
        </w:rPr>
        <w:t xml:space="preserve"> and Property Management.  </w:t>
      </w:r>
    </w:p>
    <w:p w14:paraId="7CEE03CD" w14:textId="2769A25B" w:rsidR="00C36766" w:rsidRPr="00C36766" w:rsidRDefault="00C36766" w:rsidP="00C36766">
      <w:pPr>
        <w:pStyle w:val="Heading1"/>
      </w:pPr>
      <w:r w:rsidRPr="00C36766">
        <w:t>Position purpose</w:t>
      </w:r>
    </w:p>
    <w:p w14:paraId="67EA8E1B" w14:textId="422F3428" w:rsidR="005B43FD" w:rsidRPr="005B43FD" w:rsidRDefault="005B43FD" w:rsidP="005B43FD">
      <w:pPr>
        <w:ind w:left="6"/>
        <w:rPr>
          <w:rFonts w:cs="Arial"/>
          <w:szCs w:val="20"/>
        </w:rPr>
      </w:pPr>
      <w:r w:rsidRPr="00151B1C">
        <w:t xml:space="preserve">The </w:t>
      </w:r>
      <w:r w:rsidR="00914627">
        <w:t>Principal</w:t>
      </w:r>
      <w:r w:rsidRPr="00151B1C">
        <w:t xml:space="preserve"> Health &amp; Safety </w:t>
      </w:r>
      <w:r w:rsidR="00914627">
        <w:t xml:space="preserve">Advisor </w:t>
      </w:r>
      <w:r w:rsidRPr="00151B1C">
        <w:t xml:space="preserve">is </w:t>
      </w:r>
      <w:r w:rsidR="00914627">
        <w:t xml:space="preserve">a senior practitioner </w:t>
      </w:r>
      <w:r w:rsidRPr="005B43FD">
        <w:rPr>
          <w:rFonts w:cs="Arial"/>
        </w:rPr>
        <w:t xml:space="preserve">responsible for providing strategic and operational health and safety expertise. </w:t>
      </w:r>
      <w:r w:rsidRPr="005B43FD">
        <w:rPr>
          <w:rFonts w:cs="Arial"/>
          <w:szCs w:val="20"/>
        </w:rPr>
        <w:t xml:space="preserve">As the Ministry works through the necessary changes to its systems, a Programme of Work has been set up.  The </w:t>
      </w:r>
      <w:r w:rsidR="00914627">
        <w:rPr>
          <w:rFonts w:cs="Arial"/>
          <w:szCs w:val="20"/>
        </w:rPr>
        <w:t>Principal</w:t>
      </w:r>
      <w:r w:rsidRPr="005B43FD">
        <w:rPr>
          <w:rFonts w:cs="Arial"/>
          <w:szCs w:val="20"/>
        </w:rPr>
        <w:t xml:space="preserve"> Health and Safety </w:t>
      </w:r>
      <w:r w:rsidR="00914627">
        <w:rPr>
          <w:rFonts w:cs="Arial"/>
          <w:szCs w:val="20"/>
        </w:rPr>
        <w:t xml:space="preserve">Advisor </w:t>
      </w:r>
      <w:r w:rsidRPr="005B43FD">
        <w:rPr>
          <w:rFonts w:cs="Arial"/>
          <w:szCs w:val="20"/>
        </w:rPr>
        <w:t xml:space="preserve">will work closely with the </w:t>
      </w:r>
      <w:r>
        <w:rPr>
          <w:rFonts w:cs="Arial"/>
          <w:szCs w:val="20"/>
        </w:rPr>
        <w:t>Group Manager</w:t>
      </w:r>
      <w:r w:rsidR="00D21AF5">
        <w:rPr>
          <w:rFonts w:cs="Arial"/>
          <w:szCs w:val="20"/>
        </w:rPr>
        <w:t>, Operations and the H</w:t>
      </w:r>
      <w:r>
        <w:rPr>
          <w:rFonts w:cs="Arial"/>
          <w:szCs w:val="20"/>
        </w:rPr>
        <w:t>ealth and Safety committees</w:t>
      </w:r>
      <w:r w:rsidRPr="005B43FD">
        <w:rPr>
          <w:rFonts w:cs="Arial"/>
          <w:szCs w:val="20"/>
        </w:rPr>
        <w:t xml:space="preserve"> to </w:t>
      </w:r>
      <w:r w:rsidR="00914627">
        <w:rPr>
          <w:rFonts w:cs="Arial"/>
          <w:szCs w:val="20"/>
        </w:rPr>
        <w:t>develop, implement, and champion</w:t>
      </w:r>
      <w:r w:rsidRPr="005B43FD">
        <w:rPr>
          <w:rFonts w:cs="Arial"/>
          <w:szCs w:val="20"/>
        </w:rPr>
        <w:t xml:space="preserve"> the programme outcomes</w:t>
      </w:r>
      <w:r w:rsidR="00914627">
        <w:rPr>
          <w:rFonts w:cs="Arial"/>
          <w:szCs w:val="20"/>
        </w:rPr>
        <w:t xml:space="preserve"> across the Ministry</w:t>
      </w:r>
      <w:r w:rsidRPr="005B43FD">
        <w:rPr>
          <w:rFonts w:cs="Arial"/>
          <w:szCs w:val="20"/>
        </w:rPr>
        <w:t>.</w:t>
      </w:r>
    </w:p>
    <w:p w14:paraId="04F9BFCE" w14:textId="77777777" w:rsidR="00C36766" w:rsidRPr="00C36766" w:rsidRDefault="00C36766" w:rsidP="00C36766">
      <w:pPr>
        <w:rPr>
          <w:rFonts w:cs="Arial"/>
        </w:rPr>
      </w:pPr>
    </w:p>
    <w:p w14:paraId="7C3FFFB9" w14:textId="77777777" w:rsidR="00C36766" w:rsidRPr="00C36766" w:rsidRDefault="00C36766" w:rsidP="00C36766">
      <w:pPr>
        <w:spacing w:after="120"/>
        <w:rPr>
          <w:rFonts w:cs="Arial"/>
        </w:rPr>
      </w:pPr>
      <w:r w:rsidRPr="00C36766">
        <w:rPr>
          <w:rFonts w:cs="Arial"/>
          <w:b/>
        </w:rPr>
        <w:t xml:space="preserve">Key </w:t>
      </w:r>
      <w:r w:rsidR="008F34A6">
        <w:rPr>
          <w:rFonts w:cs="Arial"/>
          <w:b/>
        </w:rPr>
        <w:t>accountabilities</w:t>
      </w:r>
      <w:r w:rsidR="00454BF0">
        <w:rPr>
          <w:rFonts w:cs="Arial"/>
          <w:b/>
        </w:rPr>
        <w:t xml:space="preserve"> and performance expectations</w:t>
      </w:r>
      <w:r w:rsidRPr="00C36766">
        <w:rPr>
          <w:rFonts w:cs="Arial"/>
        </w:rPr>
        <w:t xml:space="preserve"> include but are not limited to:</w:t>
      </w:r>
    </w:p>
    <w:tbl>
      <w:tblPr>
        <w:tblStyle w:val="TableGrid"/>
        <w:tblW w:w="0" w:type="auto"/>
        <w:tblInd w:w="108" w:type="dxa"/>
        <w:tblLayout w:type="fixed"/>
        <w:tblLook w:val="00A0" w:firstRow="1" w:lastRow="0" w:firstColumn="1" w:lastColumn="0" w:noHBand="0" w:noVBand="0"/>
      </w:tblPr>
      <w:tblGrid>
        <w:gridCol w:w="2694"/>
        <w:gridCol w:w="7512"/>
      </w:tblGrid>
      <w:tr w:rsidR="00C36766" w:rsidRPr="00C36766" w14:paraId="3BEB7457" w14:textId="77777777" w:rsidTr="00DD749D">
        <w:trPr>
          <w:cantSplit/>
          <w:tblHeader/>
        </w:trPr>
        <w:tc>
          <w:tcPr>
            <w:tcW w:w="2694" w:type="dxa"/>
            <w:shd w:val="clear" w:color="auto" w:fill="D9D9D9"/>
          </w:tcPr>
          <w:p w14:paraId="1313B791" w14:textId="247F1A04" w:rsidR="00C36766" w:rsidRPr="00B565A5" w:rsidRDefault="00C36766" w:rsidP="00B565A5">
            <w:pPr>
              <w:pStyle w:val="TableText"/>
              <w:rPr>
                <w:rFonts w:ascii="Arial" w:hAnsi="Arial" w:cs="Arial"/>
                <w:b/>
                <w:szCs w:val="20"/>
              </w:rPr>
            </w:pPr>
            <w:r w:rsidRPr="007C6D17">
              <w:rPr>
                <w:rFonts w:ascii="Arial" w:hAnsi="Arial" w:cs="Arial"/>
                <w:b/>
              </w:rPr>
              <w:t xml:space="preserve">Key </w:t>
            </w:r>
            <w:r w:rsidR="00C663EB">
              <w:rPr>
                <w:rFonts w:ascii="Arial" w:hAnsi="Arial" w:cs="Arial"/>
                <w:b/>
              </w:rPr>
              <w:t>A</w:t>
            </w:r>
            <w:r w:rsidR="00B565A5">
              <w:rPr>
                <w:rFonts w:ascii="Arial" w:hAnsi="Arial" w:cs="Arial"/>
                <w:b/>
              </w:rPr>
              <w:t>ccountabilitie</w:t>
            </w:r>
            <w:r w:rsidR="00C663EB">
              <w:rPr>
                <w:rFonts w:ascii="Arial" w:hAnsi="Arial" w:cs="Arial"/>
                <w:b/>
              </w:rPr>
              <w:t>s</w:t>
            </w:r>
          </w:p>
        </w:tc>
        <w:tc>
          <w:tcPr>
            <w:tcW w:w="7512" w:type="dxa"/>
            <w:shd w:val="clear" w:color="auto" w:fill="D9D9D9"/>
          </w:tcPr>
          <w:p w14:paraId="25DA1F31" w14:textId="253715DB" w:rsidR="00C36766" w:rsidRPr="00B565A5" w:rsidRDefault="00C36766" w:rsidP="00B565A5">
            <w:pPr>
              <w:pStyle w:val="TableText"/>
              <w:rPr>
                <w:rFonts w:ascii="Arial" w:hAnsi="Arial" w:cs="Arial"/>
                <w:b/>
                <w:szCs w:val="20"/>
              </w:rPr>
            </w:pPr>
            <w:r w:rsidRPr="007C6D17">
              <w:rPr>
                <w:rFonts w:ascii="Arial" w:hAnsi="Arial" w:cs="Arial"/>
                <w:b/>
              </w:rPr>
              <w:t>Performance expectations</w:t>
            </w:r>
          </w:p>
        </w:tc>
      </w:tr>
      <w:tr w:rsidR="00C36766" w:rsidRPr="00C36766" w14:paraId="09DE5536" w14:textId="77777777" w:rsidTr="00DD749D">
        <w:trPr>
          <w:cantSplit/>
        </w:trPr>
        <w:tc>
          <w:tcPr>
            <w:tcW w:w="2694" w:type="dxa"/>
            <w:shd w:val="clear" w:color="auto" w:fill="auto"/>
          </w:tcPr>
          <w:p w14:paraId="52DB09C4" w14:textId="1A5DCF84" w:rsidR="00C36766" w:rsidRPr="00D21AF5" w:rsidRDefault="00D21AF5" w:rsidP="00D21AF5">
            <w:pPr>
              <w:rPr>
                <w:rFonts w:ascii="Arial" w:hAnsi="Arial" w:cs="Arial"/>
              </w:rPr>
            </w:pPr>
            <w:r w:rsidRPr="00D21AF5">
              <w:rPr>
                <w:rFonts w:ascii="Arial" w:hAnsi="Arial" w:cs="Arial"/>
              </w:rPr>
              <w:t>Health and safety work programme</w:t>
            </w:r>
          </w:p>
        </w:tc>
        <w:tc>
          <w:tcPr>
            <w:tcW w:w="7512" w:type="dxa"/>
            <w:shd w:val="clear" w:color="auto" w:fill="auto"/>
          </w:tcPr>
          <w:p w14:paraId="27F0AECF" w14:textId="18D4CEE4" w:rsidR="00914627" w:rsidRDefault="00914627" w:rsidP="00820314">
            <w:pPr>
              <w:pStyle w:val="TableBullet"/>
              <w:numPr>
                <w:ilvl w:val="0"/>
                <w:numId w:val="20"/>
              </w:numPr>
              <w:ind w:left="346"/>
              <w:rPr>
                <w:rFonts w:ascii="Arial" w:hAnsi="Arial" w:cs="Arial"/>
              </w:rPr>
            </w:pPr>
            <w:r>
              <w:rPr>
                <w:rFonts w:ascii="Arial" w:hAnsi="Arial" w:cs="Arial"/>
              </w:rPr>
              <w:t>Develop, maintain, and monitor the performance of the health and safety work programme across the Ministry, providing advice to management, employees, and the Executive Leadership Team (ELT) members responsible for health and safety strategy</w:t>
            </w:r>
          </w:p>
          <w:p w14:paraId="18A4B11D" w14:textId="71511640" w:rsidR="0036013D" w:rsidRDefault="00A1258E" w:rsidP="00820314">
            <w:pPr>
              <w:pStyle w:val="TableBullet"/>
              <w:numPr>
                <w:ilvl w:val="0"/>
                <w:numId w:val="20"/>
              </w:numPr>
              <w:ind w:left="346"/>
              <w:rPr>
                <w:rFonts w:ascii="Arial" w:hAnsi="Arial" w:cs="Arial"/>
              </w:rPr>
            </w:pPr>
            <w:r>
              <w:rPr>
                <w:rFonts w:ascii="Arial" w:hAnsi="Arial" w:cs="Arial"/>
              </w:rPr>
              <w:t>Responsible for</w:t>
            </w:r>
            <w:r w:rsidR="0036013D" w:rsidRPr="00D21AF5">
              <w:rPr>
                <w:rFonts w:ascii="Arial" w:hAnsi="Arial" w:cs="Arial"/>
              </w:rPr>
              <w:t xml:space="preserve"> the strategic planning and budgeting of health and safety at an organisational level </w:t>
            </w:r>
          </w:p>
          <w:p w14:paraId="4ECF790E" w14:textId="545618EE" w:rsidR="00A1258E" w:rsidRDefault="00A1258E" w:rsidP="00820314">
            <w:pPr>
              <w:pStyle w:val="TableBullet"/>
              <w:numPr>
                <w:ilvl w:val="0"/>
                <w:numId w:val="20"/>
              </w:numPr>
              <w:ind w:left="346"/>
              <w:rPr>
                <w:rFonts w:ascii="Arial" w:hAnsi="Arial" w:cs="Arial"/>
              </w:rPr>
            </w:pPr>
            <w:r>
              <w:rPr>
                <w:rFonts w:ascii="Arial" w:hAnsi="Arial" w:cs="Arial"/>
              </w:rPr>
              <w:t xml:space="preserve">Responsible for the relationship management between ACC, </w:t>
            </w:r>
            <w:r w:rsidR="00820314">
              <w:rPr>
                <w:rFonts w:ascii="Arial" w:hAnsi="Arial" w:cs="Arial"/>
              </w:rPr>
              <w:t>WellNZ (</w:t>
            </w:r>
            <w:r>
              <w:rPr>
                <w:rFonts w:ascii="Arial" w:hAnsi="Arial" w:cs="Arial"/>
              </w:rPr>
              <w:t>the Ministry’s third party provider for injury management</w:t>
            </w:r>
            <w:r w:rsidR="00820314">
              <w:rPr>
                <w:rFonts w:ascii="Arial" w:hAnsi="Arial" w:cs="Arial"/>
              </w:rPr>
              <w:t>)</w:t>
            </w:r>
            <w:r>
              <w:rPr>
                <w:rFonts w:ascii="Arial" w:hAnsi="Arial" w:cs="Arial"/>
              </w:rPr>
              <w:t xml:space="preserve">, and WorkSafe </w:t>
            </w:r>
          </w:p>
          <w:p w14:paraId="569104F8" w14:textId="4EE018D2" w:rsidR="00D21AF5" w:rsidRPr="00D21AF5" w:rsidRDefault="00D21AF5" w:rsidP="00820314">
            <w:pPr>
              <w:pStyle w:val="TableBullet"/>
              <w:numPr>
                <w:ilvl w:val="0"/>
                <w:numId w:val="20"/>
              </w:numPr>
              <w:ind w:left="346"/>
              <w:rPr>
                <w:rFonts w:ascii="Arial" w:hAnsi="Arial" w:cs="Arial"/>
              </w:rPr>
            </w:pPr>
            <w:r w:rsidRPr="00D21AF5">
              <w:rPr>
                <w:rFonts w:ascii="Arial" w:hAnsi="Arial" w:cs="Arial"/>
              </w:rPr>
              <w:t xml:space="preserve">Ensure that the </w:t>
            </w:r>
            <w:r w:rsidR="00820314">
              <w:rPr>
                <w:rFonts w:ascii="Arial" w:hAnsi="Arial" w:cs="Arial"/>
              </w:rPr>
              <w:t xml:space="preserve">planned and </w:t>
            </w:r>
            <w:r w:rsidR="0020244A">
              <w:rPr>
                <w:rFonts w:ascii="Arial" w:hAnsi="Arial" w:cs="Arial"/>
              </w:rPr>
              <w:t>assigned</w:t>
            </w:r>
            <w:r w:rsidR="00820314">
              <w:rPr>
                <w:rFonts w:ascii="Arial" w:hAnsi="Arial" w:cs="Arial"/>
              </w:rPr>
              <w:t xml:space="preserve"> activities</w:t>
            </w:r>
            <w:r w:rsidR="0020244A">
              <w:rPr>
                <w:rFonts w:ascii="Arial" w:hAnsi="Arial" w:cs="Arial"/>
              </w:rPr>
              <w:t xml:space="preserve"> in the health and s</w:t>
            </w:r>
            <w:r w:rsidRPr="00D21AF5">
              <w:rPr>
                <w:rFonts w:ascii="Arial" w:hAnsi="Arial" w:cs="Arial"/>
              </w:rPr>
              <w:t xml:space="preserve">afety work programme </w:t>
            </w:r>
            <w:r w:rsidR="00820314">
              <w:rPr>
                <w:rFonts w:ascii="Arial" w:hAnsi="Arial" w:cs="Arial"/>
              </w:rPr>
              <w:t>are</w:t>
            </w:r>
            <w:r w:rsidRPr="00D21AF5">
              <w:rPr>
                <w:rFonts w:ascii="Arial" w:hAnsi="Arial" w:cs="Arial"/>
              </w:rPr>
              <w:t xml:space="preserve"> completed on time and to a high quality</w:t>
            </w:r>
          </w:p>
          <w:p w14:paraId="7379271C" w14:textId="22CE3814" w:rsidR="00C36766" w:rsidRPr="0036013D" w:rsidRDefault="00D21AF5" w:rsidP="00A0341B">
            <w:pPr>
              <w:pStyle w:val="TableBullet"/>
              <w:numPr>
                <w:ilvl w:val="0"/>
                <w:numId w:val="20"/>
              </w:numPr>
              <w:ind w:left="346"/>
              <w:rPr>
                <w:rFonts w:ascii="Arial" w:hAnsi="Arial" w:cs="Arial"/>
              </w:rPr>
            </w:pPr>
            <w:r>
              <w:rPr>
                <w:rFonts w:ascii="Arial" w:hAnsi="Arial" w:cs="Arial"/>
              </w:rPr>
              <w:t>C</w:t>
            </w:r>
            <w:r w:rsidRPr="00D21AF5">
              <w:rPr>
                <w:rFonts w:ascii="Arial" w:hAnsi="Arial" w:cs="Arial"/>
              </w:rPr>
              <w:t xml:space="preserve">onstantly review Ministry procedures to ensure they meet the ACC </w:t>
            </w:r>
            <w:r w:rsidR="00A0341B">
              <w:rPr>
                <w:rFonts w:ascii="Arial" w:hAnsi="Arial" w:cs="Arial"/>
              </w:rPr>
              <w:t>Partnership Programme</w:t>
            </w:r>
            <w:r w:rsidRPr="00D21AF5">
              <w:rPr>
                <w:rFonts w:ascii="Arial" w:hAnsi="Arial" w:cs="Arial"/>
              </w:rPr>
              <w:t xml:space="preserve"> and the ACC/Worksafe NZ standards.</w:t>
            </w:r>
          </w:p>
        </w:tc>
      </w:tr>
      <w:tr w:rsidR="00A1258E" w:rsidRPr="00C36766" w14:paraId="522B3EC1" w14:textId="77777777" w:rsidTr="00DD749D">
        <w:trPr>
          <w:cantSplit/>
        </w:trPr>
        <w:tc>
          <w:tcPr>
            <w:tcW w:w="2694" w:type="dxa"/>
            <w:shd w:val="clear" w:color="auto" w:fill="auto"/>
          </w:tcPr>
          <w:p w14:paraId="25405325" w14:textId="067C936A" w:rsidR="00A1258E" w:rsidRPr="00A1258E" w:rsidRDefault="00A1258E" w:rsidP="004E57F0">
            <w:pPr>
              <w:rPr>
                <w:rFonts w:ascii="Arial" w:hAnsi="Arial" w:cs="Arial"/>
              </w:rPr>
            </w:pPr>
            <w:r w:rsidRPr="00A1258E">
              <w:rPr>
                <w:rFonts w:ascii="Arial" w:hAnsi="Arial" w:cs="Arial"/>
              </w:rPr>
              <w:lastRenderedPageBreak/>
              <w:t>Relationship Management</w:t>
            </w:r>
          </w:p>
        </w:tc>
        <w:tc>
          <w:tcPr>
            <w:tcW w:w="7512" w:type="dxa"/>
            <w:shd w:val="clear" w:color="auto" w:fill="auto"/>
          </w:tcPr>
          <w:p w14:paraId="5799DD31" w14:textId="5AB4ECB1" w:rsidR="00A1258E" w:rsidRPr="00094058" w:rsidRDefault="00A1258E" w:rsidP="00094058">
            <w:pPr>
              <w:pStyle w:val="TableBullet"/>
              <w:numPr>
                <w:ilvl w:val="0"/>
                <w:numId w:val="20"/>
              </w:numPr>
              <w:ind w:left="346"/>
              <w:rPr>
                <w:rFonts w:ascii="Arial" w:hAnsi="Arial" w:cs="Arial"/>
              </w:rPr>
            </w:pPr>
            <w:r w:rsidRPr="00094058">
              <w:rPr>
                <w:rFonts w:ascii="Arial" w:hAnsi="Arial" w:cs="Arial"/>
              </w:rPr>
              <w:t xml:space="preserve">Responsible for the relationship management between ACC and </w:t>
            </w:r>
            <w:r w:rsidR="00094058" w:rsidRPr="00094058">
              <w:rPr>
                <w:rFonts w:ascii="Arial" w:hAnsi="Arial" w:cs="Arial"/>
              </w:rPr>
              <w:t xml:space="preserve">the Ministry of Health, liaising with managers on </w:t>
            </w:r>
            <w:r w:rsidR="009927E5">
              <w:rPr>
                <w:rFonts w:ascii="Arial" w:hAnsi="Arial" w:cs="Arial"/>
              </w:rPr>
              <w:t>matters relating to ACC claims and returns to work</w:t>
            </w:r>
          </w:p>
          <w:p w14:paraId="591D5463" w14:textId="5E988808" w:rsidR="009927E5" w:rsidRDefault="00881F7F" w:rsidP="00094058">
            <w:pPr>
              <w:pStyle w:val="TableBullet"/>
              <w:numPr>
                <w:ilvl w:val="0"/>
                <w:numId w:val="20"/>
              </w:numPr>
              <w:ind w:left="346"/>
              <w:rPr>
                <w:rFonts w:ascii="Arial" w:hAnsi="Arial" w:cs="Arial"/>
              </w:rPr>
            </w:pPr>
            <w:r>
              <w:rPr>
                <w:rFonts w:ascii="Arial" w:hAnsi="Arial" w:cs="Arial"/>
              </w:rPr>
              <w:t>Manage</w:t>
            </w:r>
            <w:r w:rsidR="00A1258E" w:rsidRPr="00094058">
              <w:rPr>
                <w:rFonts w:ascii="Arial" w:hAnsi="Arial" w:cs="Arial"/>
              </w:rPr>
              <w:t xml:space="preserve"> the </w:t>
            </w:r>
            <w:r>
              <w:rPr>
                <w:rFonts w:ascii="Arial" w:hAnsi="Arial" w:cs="Arial"/>
              </w:rPr>
              <w:t xml:space="preserve">Ministry’s relationship with WellNZ, </w:t>
            </w:r>
            <w:r w:rsidR="009927E5">
              <w:rPr>
                <w:rFonts w:ascii="Arial" w:hAnsi="Arial" w:cs="Arial"/>
              </w:rPr>
              <w:t>approving</w:t>
            </w:r>
            <w:r>
              <w:rPr>
                <w:rFonts w:ascii="Arial" w:hAnsi="Arial" w:cs="Arial"/>
              </w:rPr>
              <w:t xml:space="preserve"> determinations on employment claims and supports</w:t>
            </w:r>
            <w:r w:rsidR="009927E5">
              <w:rPr>
                <w:rFonts w:ascii="Arial" w:hAnsi="Arial" w:cs="Arial"/>
              </w:rPr>
              <w:t xml:space="preserve"> as needed</w:t>
            </w:r>
          </w:p>
          <w:p w14:paraId="6F3023E7" w14:textId="027FCE87" w:rsidR="00A1258E" w:rsidRPr="00094058" w:rsidRDefault="009927E5" w:rsidP="00094058">
            <w:pPr>
              <w:pStyle w:val="TableBullet"/>
              <w:numPr>
                <w:ilvl w:val="0"/>
                <w:numId w:val="20"/>
              </w:numPr>
              <w:ind w:left="346"/>
              <w:rPr>
                <w:rFonts w:ascii="Arial" w:hAnsi="Arial" w:cs="Arial"/>
              </w:rPr>
            </w:pPr>
            <w:r>
              <w:rPr>
                <w:rFonts w:ascii="Arial" w:hAnsi="Arial" w:cs="Arial"/>
              </w:rPr>
              <w:t xml:space="preserve">Manage the Ministry’s relationship with the Employee Assistance Programme, ensuring employees are aware of the resources and can facilitate on-site assistance as needed </w:t>
            </w:r>
            <w:r w:rsidR="00881F7F">
              <w:rPr>
                <w:rFonts w:ascii="Arial" w:hAnsi="Arial" w:cs="Arial"/>
              </w:rPr>
              <w:t xml:space="preserve">  </w:t>
            </w:r>
          </w:p>
          <w:p w14:paraId="2FC275BA" w14:textId="15F62F6F" w:rsidR="00094058" w:rsidRPr="00881F7F" w:rsidRDefault="00094058" w:rsidP="00820314">
            <w:pPr>
              <w:pStyle w:val="TableBullet"/>
              <w:numPr>
                <w:ilvl w:val="0"/>
                <w:numId w:val="20"/>
              </w:numPr>
              <w:ind w:left="346"/>
              <w:rPr>
                <w:rFonts w:ascii="Arial" w:hAnsi="Arial" w:cs="Arial"/>
                <w:szCs w:val="20"/>
              </w:rPr>
            </w:pPr>
            <w:r w:rsidRPr="00820314">
              <w:rPr>
                <w:rFonts w:ascii="Arial" w:hAnsi="Arial" w:cs="Arial"/>
              </w:rPr>
              <w:t>Working effectively with People &amp; Capability on managing all health &amp; safety-related matters and supporting any wellness strategy and programme deliverables that People &amp; Capability are leading</w:t>
            </w:r>
          </w:p>
        </w:tc>
      </w:tr>
      <w:tr w:rsidR="00C36766" w:rsidRPr="00C36766" w14:paraId="5DC218D0" w14:textId="77777777" w:rsidTr="00DD749D">
        <w:trPr>
          <w:cantSplit/>
        </w:trPr>
        <w:tc>
          <w:tcPr>
            <w:tcW w:w="2694" w:type="dxa"/>
            <w:shd w:val="clear" w:color="auto" w:fill="auto"/>
          </w:tcPr>
          <w:p w14:paraId="3177ABCB" w14:textId="553B306F" w:rsidR="00C36766" w:rsidRPr="004E57F0" w:rsidRDefault="00D21AF5" w:rsidP="004E57F0">
            <w:pPr>
              <w:rPr>
                <w:rFonts w:ascii="Arial" w:hAnsi="Arial" w:cs="Arial"/>
              </w:rPr>
            </w:pPr>
            <w:r w:rsidRPr="004E57F0">
              <w:rPr>
                <w:rFonts w:ascii="Arial" w:hAnsi="Arial" w:cs="Arial"/>
              </w:rPr>
              <w:t>Employee participation</w:t>
            </w:r>
          </w:p>
        </w:tc>
        <w:tc>
          <w:tcPr>
            <w:tcW w:w="7512" w:type="dxa"/>
            <w:shd w:val="clear" w:color="auto" w:fill="auto"/>
          </w:tcPr>
          <w:p w14:paraId="2744D81B" w14:textId="31CD0F40" w:rsidR="00D21AF5" w:rsidRPr="004E57F0" w:rsidRDefault="00226FB5" w:rsidP="00820314">
            <w:pPr>
              <w:pStyle w:val="TableBullet"/>
              <w:numPr>
                <w:ilvl w:val="0"/>
                <w:numId w:val="20"/>
              </w:numPr>
              <w:ind w:left="346"/>
              <w:rPr>
                <w:rFonts w:ascii="Arial" w:hAnsi="Arial" w:cs="Arial"/>
              </w:rPr>
            </w:pPr>
            <w:r>
              <w:rPr>
                <w:rFonts w:ascii="Arial" w:hAnsi="Arial" w:cs="Arial"/>
              </w:rPr>
              <w:t>Ensure that h</w:t>
            </w:r>
            <w:r w:rsidR="00D21AF5" w:rsidRPr="004E57F0">
              <w:rPr>
                <w:rFonts w:ascii="Arial" w:hAnsi="Arial" w:cs="Arial"/>
              </w:rPr>
              <w:t xml:space="preserve">ealth and safety representatives are in place in </w:t>
            </w:r>
            <w:r w:rsidR="005A2F28">
              <w:rPr>
                <w:rFonts w:ascii="Arial" w:hAnsi="Arial" w:cs="Arial"/>
              </w:rPr>
              <w:t>sufficient numbers</w:t>
            </w:r>
            <w:r w:rsidR="00D21AF5" w:rsidRPr="004E57F0">
              <w:rPr>
                <w:rFonts w:ascii="Arial" w:hAnsi="Arial" w:cs="Arial"/>
              </w:rPr>
              <w:t xml:space="preserve"> and coordinate the appointment/election of HSR’s as needed </w:t>
            </w:r>
          </w:p>
          <w:p w14:paraId="17233BDC" w14:textId="1F646738" w:rsidR="00D21AF5" w:rsidRDefault="00094058" w:rsidP="00820314">
            <w:pPr>
              <w:pStyle w:val="TableBullet"/>
              <w:numPr>
                <w:ilvl w:val="0"/>
                <w:numId w:val="20"/>
              </w:numPr>
              <w:ind w:left="346"/>
              <w:rPr>
                <w:rFonts w:ascii="Arial" w:hAnsi="Arial" w:cs="Arial"/>
              </w:rPr>
            </w:pPr>
            <w:r w:rsidRPr="00094058">
              <w:rPr>
                <w:rFonts w:ascii="Arial" w:hAnsi="Arial" w:cs="Arial"/>
              </w:rPr>
              <w:t xml:space="preserve">Provide advice and support to HSR’s as well as </w:t>
            </w:r>
            <w:r>
              <w:rPr>
                <w:rFonts w:ascii="Arial" w:hAnsi="Arial" w:cs="Arial"/>
              </w:rPr>
              <w:t>a</w:t>
            </w:r>
            <w:r w:rsidR="00D21AF5" w:rsidRPr="00094058">
              <w:rPr>
                <w:rFonts w:ascii="Arial" w:hAnsi="Arial" w:cs="Arial"/>
              </w:rPr>
              <w:t>rrange regular training for HSR’s</w:t>
            </w:r>
          </w:p>
          <w:p w14:paraId="69D891E1" w14:textId="6E67068B" w:rsidR="00094058" w:rsidRDefault="00094058" w:rsidP="00820314">
            <w:pPr>
              <w:pStyle w:val="TableBullet"/>
              <w:numPr>
                <w:ilvl w:val="0"/>
                <w:numId w:val="20"/>
              </w:numPr>
              <w:ind w:left="346"/>
              <w:rPr>
                <w:rFonts w:ascii="Arial" w:hAnsi="Arial" w:cs="Arial"/>
              </w:rPr>
            </w:pPr>
            <w:r>
              <w:rPr>
                <w:rFonts w:ascii="Arial" w:hAnsi="Arial" w:cs="Arial"/>
              </w:rPr>
              <w:t>Oversee incident management</w:t>
            </w:r>
            <w:r w:rsidR="00881F7F">
              <w:rPr>
                <w:rFonts w:ascii="Arial" w:hAnsi="Arial" w:cs="Arial"/>
              </w:rPr>
              <w:t xml:space="preserve"> across the Ministry</w:t>
            </w:r>
            <w:r>
              <w:rPr>
                <w:rFonts w:ascii="Arial" w:hAnsi="Arial" w:cs="Arial"/>
              </w:rPr>
              <w:t xml:space="preserve">, ensuring reports are submitted on a timely basis, </w:t>
            </w:r>
            <w:r w:rsidR="00C91B04">
              <w:rPr>
                <w:rFonts w:ascii="Arial" w:hAnsi="Arial" w:cs="Arial"/>
              </w:rPr>
              <w:t xml:space="preserve">are complete, and are captured for reporting </w:t>
            </w:r>
            <w:r w:rsidR="00E1572D">
              <w:rPr>
                <w:rFonts w:ascii="Arial" w:hAnsi="Arial" w:cs="Arial"/>
              </w:rPr>
              <w:t xml:space="preserve">and injury-management </w:t>
            </w:r>
            <w:r w:rsidR="00C91B04">
              <w:rPr>
                <w:rFonts w:ascii="Arial" w:hAnsi="Arial" w:cs="Arial"/>
              </w:rPr>
              <w:t>needs</w:t>
            </w:r>
            <w:r>
              <w:rPr>
                <w:rFonts w:ascii="Arial" w:hAnsi="Arial" w:cs="Arial"/>
              </w:rPr>
              <w:t xml:space="preserve"> </w:t>
            </w:r>
          </w:p>
          <w:p w14:paraId="5697F37B" w14:textId="1D3C8A21" w:rsidR="00F16083" w:rsidRPr="00094058" w:rsidRDefault="00F16083" w:rsidP="00820314">
            <w:pPr>
              <w:pStyle w:val="TableBullet"/>
              <w:numPr>
                <w:ilvl w:val="0"/>
                <w:numId w:val="20"/>
              </w:numPr>
              <w:ind w:left="346"/>
              <w:rPr>
                <w:rFonts w:ascii="Arial" w:hAnsi="Arial" w:cs="Arial"/>
              </w:rPr>
            </w:pPr>
            <w:r>
              <w:rPr>
                <w:rFonts w:ascii="Arial" w:hAnsi="Arial" w:cs="Arial"/>
              </w:rPr>
              <w:t>Review and authorise workstation assessment requests for staff as required, working with the assessment provider, People &amp; Capability, Technology &amp; Digital Services (T&amp;DS) and Office Services to implement recommendations from the assessments</w:t>
            </w:r>
          </w:p>
          <w:p w14:paraId="738A1585" w14:textId="77777777" w:rsidR="00D21AF5" w:rsidRPr="004E57F0" w:rsidRDefault="00D21AF5" w:rsidP="00820314">
            <w:pPr>
              <w:pStyle w:val="TableBullet"/>
              <w:numPr>
                <w:ilvl w:val="0"/>
                <w:numId w:val="20"/>
              </w:numPr>
              <w:ind w:left="346"/>
              <w:rPr>
                <w:rFonts w:ascii="Arial" w:hAnsi="Arial" w:cs="Arial"/>
              </w:rPr>
            </w:pPr>
            <w:r w:rsidRPr="004E57F0">
              <w:rPr>
                <w:rFonts w:ascii="Arial" w:hAnsi="Arial" w:cs="Arial"/>
              </w:rPr>
              <w:t>Assist with the establishment and manage the ongoing coordination of Site Health and Safety Committees ensuring they follow guidelines and best practice</w:t>
            </w:r>
          </w:p>
          <w:p w14:paraId="368D1742" w14:textId="150AAA12" w:rsidR="00C36766" w:rsidRPr="004E57F0" w:rsidRDefault="00D21AF5" w:rsidP="00820314">
            <w:pPr>
              <w:pStyle w:val="TableBullet"/>
              <w:numPr>
                <w:ilvl w:val="0"/>
                <w:numId w:val="20"/>
              </w:numPr>
              <w:ind w:left="346"/>
            </w:pPr>
            <w:r w:rsidRPr="004E57F0">
              <w:rPr>
                <w:rFonts w:ascii="Arial" w:hAnsi="Arial" w:cs="Arial"/>
              </w:rPr>
              <w:t xml:space="preserve">Provide information to site committees as appropriate.  This is likely to include organisation wide data and analysis, reports on action items and progress from </w:t>
            </w:r>
            <w:r w:rsidR="00AB293B">
              <w:rPr>
                <w:rFonts w:ascii="Arial" w:hAnsi="Arial" w:cs="Arial"/>
              </w:rPr>
              <w:t>the Health and Safety Committee</w:t>
            </w:r>
            <w:r w:rsidR="00311B21">
              <w:rPr>
                <w:rFonts w:ascii="Arial" w:hAnsi="Arial" w:cs="Arial"/>
              </w:rPr>
              <w:t>, as well as legislative changes</w:t>
            </w:r>
            <w:r w:rsidRPr="004E57F0">
              <w:rPr>
                <w:rFonts w:ascii="Arial" w:hAnsi="Arial" w:cs="Arial"/>
              </w:rPr>
              <w:t>.</w:t>
            </w:r>
          </w:p>
        </w:tc>
      </w:tr>
      <w:tr w:rsidR="00C36766" w:rsidRPr="00C36766" w14:paraId="119AD463" w14:textId="77777777" w:rsidTr="00DD749D">
        <w:trPr>
          <w:cantSplit/>
        </w:trPr>
        <w:tc>
          <w:tcPr>
            <w:tcW w:w="2694" w:type="dxa"/>
            <w:shd w:val="clear" w:color="auto" w:fill="auto"/>
          </w:tcPr>
          <w:p w14:paraId="7A3EDB98" w14:textId="12289EA2" w:rsidR="00C36766" w:rsidRPr="004E57F0" w:rsidRDefault="0020244A" w:rsidP="004E57F0">
            <w:pPr>
              <w:rPr>
                <w:rFonts w:ascii="Arial" w:hAnsi="Arial" w:cs="Arial"/>
              </w:rPr>
            </w:pPr>
            <w:r>
              <w:rPr>
                <w:rFonts w:ascii="Arial" w:hAnsi="Arial" w:cs="Arial"/>
              </w:rPr>
              <w:t>Health and S</w:t>
            </w:r>
            <w:r w:rsidR="004E57F0" w:rsidRPr="004E57F0">
              <w:rPr>
                <w:rFonts w:ascii="Arial" w:hAnsi="Arial" w:cs="Arial"/>
              </w:rPr>
              <w:t>afety compliance</w:t>
            </w:r>
          </w:p>
        </w:tc>
        <w:tc>
          <w:tcPr>
            <w:tcW w:w="7512" w:type="dxa"/>
            <w:shd w:val="clear" w:color="auto" w:fill="auto"/>
          </w:tcPr>
          <w:p w14:paraId="498458DF" w14:textId="77777777" w:rsidR="004E57F0" w:rsidRPr="004E57F0" w:rsidRDefault="004E57F0" w:rsidP="00820314">
            <w:pPr>
              <w:pStyle w:val="TableBullet"/>
              <w:numPr>
                <w:ilvl w:val="0"/>
                <w:numId w:val="20"/>
              </w:numPr>
              <w:ind w:left="346"/>
              <w:rPr>
                <w:rFonts w:ascii="Arial" w:hAnsi="Arial" w:cs="Arial"/>
              </w:rPr>
            </w:pPr>
            <w:r w:rsidRPr="004E57F0">
              <w:rPr>
                <w:rFonts w:ascii="Arial" w:hAnsi="Arial" w:cs="Arial"/>
              </w:rPr>
              <w:t>Analyse current health and safety audit compliance information and business intelligence to develop a complete picture of the current position of allocated business units</w:t>
            </w:r>
          </w:p>
          <w:p w14:paraId="193876EE" w14:textId="6CEB2C2D" w:rsidR="00AB293B" w:rsidRDefault="00AB293B" w:rsidP="00820314">
            <w:pPr>
              <w:pStyle w:val="TableBullet"/>
              <w:numPr>
                <w:ilvl w:val="0"/>
                <w:numId w:val="20"/>
              </w:numPr>
              <w:ind w:left="346"/>
              <w:rPr>
                <w:rFonts w:ascii="Arial" w:hAnsi="Arial" w:cs="Arial"/>
              </w:rPr>
            </w:pPr>
            <w:r>
              <w:rPr>
                <w:rFonts w:ascii="Arial" w:hAnsi="Arial" w:cs="Arial"/>
              </w:rPr>
              <w:t xml:space="preserve">Ensure the Ministry and related H&amp;S committees are aware and compliant with health and safety codes of practice, legislative changes, emerging jurisprudence, etc. </w:t>
            </w:r>
          </w:p>
          <w:p w14:paraId="755236B4" w14:textId="03AF5D6C" w:rsidR="004E57F0" w:rsidRPr="004E57F0" w:rsidRDefault="004E57F0" w:rsidP="00820314">
            <w:pPr>
              <w:pStyle w:val="TableBullet"/>
              <w:numPr>
                <w:ilvl w:val="0"/>
                <w:numId w:val="20"/>
              </w:numPr>
              <w:ind w:left="346"/>
              <w:rPr>
                <w:rFonts w:ascii="Arial" w:hAnsi="Arial" w:cs="Arial"/>
              </w:rPr>
            </w:pPr>
            <w:r w:rsidRPr="004E57F0">
              <w:rPr>
                <w:rFonts w:ascii="Arial" w:hAnsi="Arial" w:cs="Arial"/>
              </w:rPr>
              <w:t xml:space="preserve">Work with </w:t>
            </w:r>
            <w:r w:rsidR="0036013D">
              <w:rPr>
                <w:rFonts w:ascii="Arial" w:hAnsi="Arial" w:cs="Arial"/>
              </w:rPr>
              <w:t xml:space="preserve">ELT members and </w:t>
            </w:r>
            <w:r w:rsidRPr="004E57F0">
              <w:rPr>
                <w:rFonts w:ascii="Arial" w:hAnsi="Arial" w:cs="Arial"/>
              </w:rPr>
              <w:t>managers to develop strategies to ensure business units are compliant with Ministry health and safety policy and processes</w:t>
            </w:r>
          </w:p>
          <w:p w14:paraId="6E099378" w14:textId="4422876A" w:rsidR="004E57F0" w:rsidRPr="004E57F0" w:rsidRDefault="004E57F0" w:rsidP="00820314">
            <w:pPr>
              <w:pStyle w:val="TableBullet"/>
              <w:numPr>
                <w:ilvl w:val="0"/>
                <w:numId w:val="20"/>
              </w:numPr>
              <w:ind w:left="346"/>
              <w:rPr>
                <w:rFonts w:ascii="Arial" w:hAnsi="Arial" w:cs="Arial"/>
              </w:rPr>
            </w:pPr>
            <w:r w:rsidRPr="004E57F0">
              <w:rPr>
                <w:rFonts w:ascii="Arial" w:hAnsi="Arial" w:cs="Arial"/>
              </w:rPr>
              <w:t>Monitor and report on progress monthly</w:t>
            </w:r>
            <w:r w:rsidR="0036013D">
              <w:rPr>
                <w:rFonts w:ascii="Arial" w:hAnsi="Arial" w:cs="Arial"/>
              </w:rPr>
              <w:t xml:space="preserve"> to ELT, the National health committee and local committees, signalling trends and recommending strategies to help the Ministry </w:t>
            </w:r>
          </w:p>
          <w:p w14:paraId="5E698832" w14:textId="0655BF4F" w:rsidR="00C36766" w:rsidRPr="004E57F0" w:rsidRDefault="004E57F0" w:rsidP="00820314">
            <w:pPr>
              <w:pStyle w:val="TableBullet"/>
              <w:numPr>
                <w:ilvl w:val="0"/>
                <w:numId w:val="20"/>
              </w:numPr>
              <w:ind w:left="346"/>
            </w:pPr>
            <w:r w:rsidRPr="004E57F0">
              <w:rPr>
                <w:rFonts w:ascii="Arial" w:hAnsi="Arial" w:cs="Arial"/>
              </w:rPr>
              <w:t>Drive continuous improvement in our performance on health and safety and lead allocated improvement initiatives.</w:t>
            </w:r>
          </w:p>
        </w:tc>
      </w:tr>
      <w:tr w:rsidR="00C36766" w:rsidRPr="00C36766" w14:paraId="6B3BF25F" w14:textId="77777777" w:rsidTr="00DD749D">
        <w:trPr>
          <w:cantSplit/>
        </w:trPr>
        <w:tc>
          <w:tcPr>
            <w:tcW w:w="2694" w:type="dxa"/>
            <w:shd w:val="clear" w:color="auto" w:fill="auto"/>
          </w:tcPr>
          <w:p w14:paraId="0E6414FA" w14:textId="77777777" w:rsidR="000B36C7" w:rsidRPr="000B36C7" w:rsidRDefault="000B36C7" w:rsidP="000B36C7">
            <w:pPr>
              <w:rPr>
                <w:rFonts w:ascii="Arial" w:hAnsi="Arial" w:cs="Arial"/>
              </w:rPr>
            </w:pPr>
            <w:r w:rsidRPr="000B36C7">
              <w:rPr>
                <w:rFonts w:ascii="Arial" w:hAnsi="Arial" w:cs="Arial"/>
              </w:rPr>
              <w:lastRenderedPageBreak/>
              <w:t>Analysis, development and advice</w:t>
            </w:r>
          </w:p>
          <w:p w14:paraId="7BD294DB" w14:textId="79B7772E" w:rsidR="00C36766" w:rsidRPr="00C36766" w:rsidRDefault="00C36766" w:rsidP="00DD749D">
            <w:pPr>
              <w:pStyle w:val="TableText"/>
              <w:rPr>
                <w:rFonts w:ascii="Arial" w:hAnsi="Arial" w:cs="Arial"/>
              </w:rPr>
            </w:pPr>
          </w:p>
        </w:tc>
        <w:tc>
          <w:tcPr>
            <w:tcW w:w="7512" w:type="dxa"/>
            <w:shd w:val="clear" w:color="auto" w:fill="auto"/>
          </w:tcPr>
          <w:p w14:paraId="4D7195B6" w14:textId="77777777" w:rsidR="000B36C7" w:rsidRPr="000B36C7" w:rsidRDefault="000B36C7" w:rsidP="00820314">
            <w:pPr>
              <w:pStyle w:val="TableBullet"/>
              <w:numPr>
                <w:ilvl w:val="0"/>
                <w:numId w:val="20"/>
              </w:numPr>
              <w:ind w:left="346"/>
              <w:rPr>
                <w:rFonts w:ascii="Arial" w:hAnsi="Arial" w:cs="Arial"/>
              </w:rPr>
            </w:pPr>
            <w:r w:rsidRPr="000B36C7">
              <w:rPr>
                <w:rFonts w:ascii="Arial" w:hAnsi="Arial" w:cs="Arial"/>
              </w:rPr>
              <w:t>Anticipate business requirements to ensure that advice is relevant and plan work accordingly</w:t>
            </w:r>
          </w:p>
          <w:p w14:paraId="1989538B" w14:textId="77777777" w:rsidR="000B36C7" w:rsidRPr="000B36C7" w:rsidRDefault="000B36C7" w:rsidP="00820314">
            <w:pPr>
              <w:pStyle w:val="TableBullet"/>
              <w:numPr>
                <w:ilvl w:val="0"/>
                <w:numId w:val="20"/>
              </w:numPr>
              <w:ind w:left="346"/>
              <w:rPr>
                <w:rFonts w:ascii="Arial" w:hAnsi="Arial" w:cs="Arial"/>
              </w:rPr>
            </w:pPr>
            <w:r w:rsidRPr="000B36C7">
              <w:rPr>
                <w:rFonts w:ascii="Arial" w:hAnsi="Arial" w:cs="Arial"/>
              </w:rPr>
              <w:t>Identify and take account of the potential impact of health and safety initiatives on the wider system in order to lead and contribute to robust health and safety initiative development and to contribute to successful implementation processes</w:t>
            </w:r>
          </w:p>
          <w:p w14:paraId="4456A89A" w14:textId="77777777" w:rsidR="000B36C7" w:rsidRPr="000B36C7" w:rsidRDefault="000B36C7" w:rsidP="00820314">
            <w:pPr>
              <w:pStyle w:val="TableBullet"/>
              <w:numPr>
                <w:ilvl w:val="0"/>
                <w:numId w:val="20"/>
              </w:numPr>
              <w:ind w:left="346"/>
              <w:rPr>
                <w:rFonts w:ascii="Arial" w:hAnsi="Arial" w:cs="Arial"/>
              </w:rPr>
            </w:pPr>
            <w:r w:rsidRPr="000B36C7">
              <w:rPr>
                <w:rFonts w:ascii="Arial" w:hAnsi="Arial" w:cs="Arial"/>
              </w:rPr>
              <w:t>Accurately and clearly communicate advice to internal and external stakeholders and customers</w:t>
            </w:r>
          </w:p>
          <w:p w14:paraId="4B8F031F" w14:textId="68AEE949" w:rsidR="000B36C7" w:rsidRPr="000B36C7" w:rsidRDefault="00AB293B" w:rsidP="00820314">
            <w:pPr>
              <w:pStyle w:val="TableBullet"/>
              <w:numPr>
                <w:ilvl w:val="0"/>
                <w:numId w:val="20"/>
              </w:numPr>
              <w:ind w:left="346"/>
              <w:rPr>
                <w:rFonts w:ascii="Arial" w:hAnsi="Arial" w:cs="Arial"/>
              </w:rPr>
            </w:pPr>
            <w:r>
              <w:rPr>
                <w:rFonts w:ascii="Arial" w:hAnsi="Arial" w:cs="Arial"/>
              </w:rPr>
              <w:t>Ensure</w:t>
            </w:r>
            <w:r w:rsidR="000B36C7" w:rsidRPr="000B36C7">
              <w:rPr>
                <w:rFonts w:ascii="Arial" w:hAnsi="Arial" w:cs="Arial"/>
              </w:rPr>
              <w:t xml:space="preserve"> the alignment of programmes and</w:t>
            </w:r>
            <w:r w:rsidR="00E85798">
              <w:rPr>
                <w:rFonts w:ascii="Arial" w:hAnsi="Arial" w:cs="Arial"/>
              </w:rPr>
              <w:t xml:space="preserve"> activities across the Ministry</w:t>
            </w:r>
          </w:p>
          <w:p w14:paraId="48779AAC" w14:textId="77777777" w:rsidR="000B36C7" w:rsidRPr="000B36C7" w:rsidRDefault="000B36C7" w:rsidP="00820314">
            <w:pPr>
              <w:pStyle w:val="TableBullet"/>
              <w:numPr>
                <w:ilvl w:val="0"/>
                <w:numId w:val="20"/>
              </w:numPr>
              <w:ind w:left="346"/>
              <w:rPr>
                <w:rFonts w:ascii="Arial" w:hAnsi="Arial" w:cs="Arial"/>
              </w:rPr>
            </w:pPr>
            <w:r w:rsidRPr="000B36C7">
              <w:rPr>
                <w:rFonts w:ascii="Arial" w:hAnsi="Arial" w:cs="Arial"/>
              </w:rPr>
              <w:t>Establish and maintain a range of relevant, professional relationships and internal and external networks to enable appropriate sharing of information and professional co-operation</w:t>
            </w:r>
          </w:p>
          <w:p w14:paraId="2F758D3B" w14:textId="77777777" w:rsidR="000B36C7" w:rsidRPr="000B36C7" w:rsidRDefault="000B36C7" w:rsidP="00820314">
            <w:pPr>
              <w:pStyle w:val="TableBullet"/>
              <w:numPr>
                <w:ilvl w:val="0"/>
                <w:numId w:val="20"/>
              </w:numPr>
              <w:ind w:left="346"/>
              <w:rPr>
                <w:rFonts w:ascii="Arial" w:hAnsi="Arial" w:cs="Arial"/>
              </w:rPr>
            </w:pPr>
            <w:r w:rsidRPr="000B36C7">
              <w:rPr>
                <w:rFonts w:ascii="Arial" w:hAnsi="Arial" w:cs="Arial"/>
              </w:rPr>
              <w:t>Identify and undertake required consultation to provide relevant stakeholders with the opportunity to contribute to health and safety initiatives, and work on resolving any issues that arise as a result of consultation</w:t>
            </w:r>
          </w:p>
          <w:p w14:paraId="66732AC0" w14:textId="49691520" w:rsidR="00C36766" w:rsidRPr="000B36C7" w:rsidRDefault="000B36C7" w:rsidP="00820314">
            <w:pPr>
              <w:pStyle w:val="TableBullet"/>
              <w:numPr>
                <w:ilvl w:val="0"/>
                <w:numId w:val="20"/>
              </w:numPr>
              <w:ind w:left="346"/>
            </w:pPr>
            <w:r w:rsidRPr="000B36C7">
              <w:rPr>
                <w:rFonts w:ascii="Arial" w:hAnsi="Arial" w:cs="Arial"/>
              </w:rPr>
              <w:t>Work collaboratively and constructively with Ministry staff and staff in other agencies to achieve successful outcomes that meet requirements</w:t>
            </w:r>
          </w:p>
        </w:tc>
      </w:tr>
      <w:tr w:rsidR="00820314" w:rsidRPr="00C36766" w14:paraId="231547DD" w14:textId="77777777" w:rsidTr="00DD749D">
        <w:trPr>
          <w:cantSplit/>
        </w:trPr>
        <w:tc>
          <w:tcPr>
            <w:tcW w:w="2694" w:type="dxa"/>
            <w:shd w:val="clear" w:color="auto" w:fill="auto"/>
          </w:tcPr>
          <w:p w14:paraId="65C7B728" w14:textId="0272C035" w:rsidR="00820314" w:rsidRPr="000B36C7" w:rsidRDefault="00820314" w:rsidP="000B36C7">
            <w:pPr>
              <w:rPr>
                <w:rFonts w:cs="Arial"/>
              </w:rPr>
            </w:pPr>
            <w:r w:rsidRPr="00820314">
              <w:rPr>
                <w:rFonts w:ascii="Arial" w:hAnsi="Arial" w:cs="Arial"/>
              </w:rPr>
              <w:t>Health and Safety governance</w:t>
            </w:r>
          </w:p>
        </w:tc>
        <w:tc>
          <w:tcPr>
            <w:tcW w:w="7512" w:type="dxa"/>
            <w:shd w:val="clear" w:color="auto" w:fill="auto"/>
          </w:tcPr>
          <w:p w14:paraId="39CA5B17" w14:textId="6179EB37" w:rsidR="00820314" w:rsidRPr="000B36C7" w:rsidRDefault="00820314" w:rsidP="00820314">
            <w:pPr>
              <w:pStyle w:val="TableBullet"/>
              <w:numPr>
                <w:ilvl w:val="0"/>
                <w:numId w:val="20"/>
              </w:numPr>
              <w:ind w:left="346"/>
              <w:rPr>
                <w:rFonts w:cs="Arial"/>
              </w:rPr>
            </w:pPr>
            <w:r w:rsidRPr="00820314">
              <w:rPr>
                <w:rFonts w:ascii="Arial" w:hAnsi="Arial" w:cs="Arial"/>
              </w:rPr>
              <w:t>Coordinate</w:t>
            </w:r>
            <w:r>
              <w:rPr>
                <w:rFonts w:ascii="Arial" w:hAnsi="Arial" w:cs="Arial"/>
              </w:rPr>
              <w:t xml:space="preserve"> the agenda and associated papers for the National Health and Safety Committee, seeking input from the ELT member responsible for Health and Safety and committee members </w:t>
            </w:r>
          </w:p>
        </w:tc>
      </w:tr>
      <w:tr w:rsidR="00C36766" w:rsidRPr="00C36766" w14:paraId="5F0CFEF9" w14:textId="77777777" w:rsidTr="00DD749D">
        <w:trPr>
          <w:cantSplit/>
        </w:trPr>
        <w:tc>
          <w:tcPr>
            <w:tcW w:w="2694" w:type="dxa"/>
            <w:shd w:val="clear" w:color="auto" w:fill="auto"/>
          </w:tcPr>
          <w:p w14:paraId="75CE128E" w14:textId="77777777" w:rsidR="00C36766" w:rsidRPr="00C36766" w:rsidRDefault="00C36766" w:rsidP="00DD749D">
            <w:pPr>
              <w:pStyle w:val="TableText"/>
              <w:rPr>
                <w:rFonts w:ascii="Arial" w:hAnsi="Arial" w:cs="Arial"/>
              </w:rPr>
            </w:pPr>
            <w:r w:rsidRPr="00C36766">
              <w:rPr>
                <w:rFonts w:ascii="Arial" w:hAnsi="Arial" w:cs="Arial"/>
              </w:rPr>
              <w:t>Health and Safety</w:t>
            </w:r>
          </w:p>
        </w:tc>
        <w:tc>
          <w:tcPr>
            <w:tcW w:w="7512" w:type="dxa"/>
            <w:shd w:val="clear" w:color="auto" w:fill="auto"/>
          </w:tcPr>
          <w:p w14:paraId="7DAACF16" w14:textId="062AD17F" w:rsidR="00DD749D" w:rsidRPr="00DD749D" w:rsidRDefault="007969FD" w:rsidP="00DD749D">
            <w:pPr>
              <w:pStyle w:val="TableBullet"/>
              <w:numPr>
                <w:ilvl w:val="0"/>
                <w:numId w:val="0"/>
              </w:numPr>
              <w:rPr>
                <w:rFonts w:ascii="Arial" w:hAnsi="Arial" w:cs="Arial"/>
                <w:i/>
                <w:noProof/>
              </w:rPr>
            </w:pPr>
            <w:r>
              <w:rPr>
                <w:rFonts w:ascii="Arial" w:hAnsi="Arial" w:cs="Arial"/>
                <w:i/>
                <w:noProof/>
              </w:rPr>
              <w:t xml:space="preserve">All </w:t>
            </w:r>
            <w:r w:rsidR="00DD749D" w:rsidRPr="00DD749D">
              <w:rPr>
                <w:rFonts w:ascii="Arial" w:hAnsi="Arial" w:cs="Arial"/>
                <w:i/>
                <w:noProof/>
              </w:rPr>
              <w:t>Staff</w:t>
            </w:r>
            <w:r>
              <w:rPr>
                <w:rFonts w:ascii="Arial" w:hAnsi="Arial" w:cs="Arial"/>
                <w:i/>
                <w:noProof/>
              </w:rPr>
              <w:t xml:space="preserve"> have the following responsibilities</w:t>
            </w:r>
          </w:p>
          <w:p w14:paraId="1CD788CA" w14:textId="77777777" w:rsidR="00DD749D" w:rsidRPr="00DD749D" w:rsidRDefault="00DD749D" w:rsidP="00DD749D">
            <w:pPr>
              <w:pStyle w:val="TableBullet"/>
              <w:numPr>
                <w:ilvl w:val="0"/>
                <w:numId w:val="0"/>
              </w:numPr>
              <w:rPr>
                <w:rFonts w:ascii="Arial" w:hAnsi="Arial" w:cs="Arial"/>
                <w:noProof/>
              </w:rPr>
            </w:pPr>
            <w:r w:rsidRPr="00DD749D">
              <w:rPr>
                <w:rFonts w:ascii="Arial" w:hAnsi="Arial" w:cs="Arial"/>
                <w:noProof/>
              </w:rPr>
              <w:t>Take responsibility for meeting the Ministry’s obligations in workplace health and safety by:</w:t>
            </w:r>
          </w:p>
          <w:p w14:paraId="13A7625C" w14:textId="77777777" w:rsidR="00DD749D" w:rsidRPr="00DD749D" w:rsidRDefault="00DD749D" w:rsidP="00820314">
            <w:pPr>
              <w:pStyle w:val="TableBullet"/>
              <w:numPr>
                <w:ilvl w:val="0"/>
                <w:numId w:val="20"/>
              </w:numPr>
              <w:ind w:left="346"/>
              <w:rPr>
                <w:rFonts w:ascii="Arial" w:hAnsi="Arial" w:cs="Arial"/>
              </w:rPr>
            </w:pPr>
            <w:r w:rsidRPr="00DD749D">
              <w:rPr>
                <w:rFonts w:ascii="Arial" w:hAnsi="Arial" w:cs="Arial"/>
              </w:rPr>
              <w:t xml:space="preserve">observing the Ministry’s H&amp;S procedures </w:t>
            </w:r>
          </w:p>
          <w:p w14:paraId="17752703" w14:textId="77777777" w:rsidR="00DD749D" w:rsidRPr="00DD749D" w:rsidRDefault="00DD749D" w:rsidP="00820314">
            <w:pPr>
              <w:pStyle w:val="TableBullet"/>
              <w:numPr>
                <w:ilvl w:val="0"/>
                <w:numId w:val="20"/>
              </w:numPr>
              <w:ind w:left="346"/>
              <w:rPr>
                <w:rFonts w:ascii="Arial" w:hAnsi="Arial" w:cs="Arial"/>
              </w:rPr>
            </w:pPr>
            <w:r w:rsidRPr="00DD749D">
              <w:rPr>
                <w:rFonts w:ascii="Arial" w:hAnsi="Arial" w:cs="Arial"/>
              </w:rPr>
              <w:t>participating in health and safety initiatives and training where appropriate</w:t>
            </w:r>
          </w:p>
          <w:p w14:paraId="04664B6D" w14:textId="77777777" w:rsidR="00DD749D" w:rsidRPr="00DD749D" w:rsidRDefault="00DD749D" w:rsidP="00820314">
            <w:pPr>
              <w:pStyle w:val="TableBullet"/>
              <w:numPr>
                <w:ilvl w:val="0"/>
                <w:numId w:val="20"/>
              </w:numPr>
              <w:ind w:left="346"/>
              <w:rPr>
                <w:rFonts w:ascii="Arial" w:hAnsi="Arial" w:cs="Arial"/>
              </w:rPr>
            </w:pPr>
            <w:r w:rsidRPr="00DD749D">
              <w:rPr>
                <w:rFonts w:ascii="Arial" w:hAnsi="Arial" w:cs="Arial"/>
              </w:rPr>
              <w:t xml:space="preserve">providing suggestions for improvement of health and safety </w:t>
            </w:r>
          </w:p>
          <w:p w14:paraId="636843F3" w14:textId="77777777" w:rsidR="00DD749D" w:rsidRPr="00DD749D" w:rsidRDefault="00DD749D" w:rsidP="00820314">
            <w:pPr>
              <w:pStyle w:val="TableBullet"/>
              <w:numPr>
                <w:ilvl w:val="0"/>
                <w:numId w:val="20"/>
              </w:numPr>
              <w:ind w:left="346"/>
              <w:rPr>
                <w:rFonts w:ascii="Arial" w:hAnsi="Arial" w:cs="Arial"/>
              </w:rPr>
            </w:pPr>
            <w:r w:rsidRPr="00DD749D">
              <w:rPr>
                <w:rFonts w:ascii="Arial" w:hAnsi="Arial" w:cs="Arial"/>
              </w:rPr>
              <w:t>reporting all accidents/incidents, near misses, and symptoms of discomfort</w:t>
            </w:r>
          </w:p>
          <w:p w14:paraId="75EEA3C0" w14:textId="41E1AE38" w:rsidR="00DD749D" w:rsidRPr="00820314" w:rsidRDefault="00DD749D" w:rsidP="00820314">
            <w:pPr>
              <w:pStyle w:val="TableBullet"/>
              <w:numPr>
                <w:ilvl w:val="0"/>
                <w:numId w:val="20"/>
              </w:numPr>
              <w:ind w:left="346"/>
              <w:rPr>
                <w:rFonts w:ascii="Arial" w:hAnsi="Arial" w:cs="Arial"/>
              </w:rPr>
            </w:pPr>
            <w:r w:rsidRPr="00DD749D">
              <w:rPr>
                <w:rFonts w:ascii="Arial" w:hAnsi="Arial" w:cs="Arial"/>
              </w:rPr>
              <w:t>identifying and reporting workplace hazards</w:t>
            </w:r>
            <w:r w:rsidR="00820314">
              <w:rPr>
                <w:rFonts w:ascii="Arial" w:hAnsi="Arial" w:cs="Arial"/>
              </w:rPr>
              <w:t>.</w:t>
            </w:r>
          </w:p>
        </w:tc>
      </w:tr>
    </w:tbl>
    <w:p w14:paraId="109E8AF9" w14:textId="77777777" w:rsidR="00C36766" w:rsidRPr="00C36766" w:rsidRDefault="00C36766" w:rsidP="00C36766">
      <w:pPr>
        <w:rPr>
          <w:rFonts w:cs="Arial"/>
        </w:rPr>
      </w:pPr>
    </w:p>
    <w:p w14:paraId="2D46373E" w14:textId="77777777" w:rsidR="00C36766" w:rsidRPr="00C36766" w:rsidRDefault="00C36766" w:rsidP="00C36766">
      <w:pPr>
        <w:pStyle w:val="Heading1"/>
      </w:pPr>
      <w:r w:rsidRPr="00C36766">
        <w:t>Key relationships</w:t>
      </w:r>
    </w:p>
    <w:p w14:paraId="79C2159E" w14:textId="77777777" w:rsidR="00C36766" w:rsidRPr="00C36766" w:rsidRDefault="00C36766" w:rsidP="00C36766">
      <w:pPr>
        <w:keepNext/>
        <w:spacing w:after="120"/>
        <w:rPr>
          <w:rFonts w:cs="Arial"/>
        </w:rPr>
      </w:pPr>
      <w:r w:rsidRPr="00C36766">
        <w:rPr>
          <w:rFonts w:cs="Arial"/>
        </w:rPr>
        <w:t>All Ministry employees have a responsibility for managing relationships in some or all of the key sectors we work with.  In this role, the key relationships to be developed are as follows:</w:t>
      </w:r>
    </w:p>
    <w:tbl>
      <w:tblPr>
        <w:tblStyle w:val="TableGrid"/>
        <w:tblW w:w="0" w:type="auto"/>
        <w:tblInd w:w="108" w:type="dxa"/>
        <w:tblLook w:val="00A0" w:firstRow="1" w:lastRow="0" w:firstColumn="1" w:lastColumn="0" w:noHBand="0" w:noVBand="0"/>
      </w:tblPr>
      <w:tblGrid>
        <w:gridCol w:w="2502"/>
        <w:gridCol w:w="7584"/>
      </w:tblGrid>
      <w:tr w:rsidR="00C36766" w:rsidRPr="00C36766" w14:paraId="685EC60E" w14:textId="77777777" w:rsidTr="00696D5C">
        <w:tc>
          <w:tcPr>
            <w:tcW w:w="2502" w:type="dxa"/>
            <w:shd w:val="clear" w:color="auto" w:fill="D9D9D9"/>
          </w:tcPr>
          <w:p w14:paraId="25C45545" w14:textId="77777777" w:rsidR="00C36766" w:rsidRPr="00C36766" w:rsidRDefault="00C36766" w:rsidP="00DD749D">
            <w:pPr>
              <w:pStyle w:val="TableText"/>
              <w:keepNext/>
              <w:rPr>
                <w:rFonts w:ascii="Arial" w:hAnsi="Arial" w:cs="Arial"/>
                <w:b/>
              </w:rPr>
            </w:pPr>
            <w:r w:rsidRPr="00C36766">
              <w:rPr>
                <w:rFonts w:ascii="Arial" w:hAnsi="Arial" w:cs="Arial"/>
                <w:b/>
              </w:rPr>
              <w:t>Reports to:</w:t>
            </w:r>
          </w:p>
        </w:tc>
        <w:tc>
          <w:tcPr>
            <w:tcW w:w="7584" w:type="dxa"/>
          </w:tcPr>
          <w:p w14:paraId="7808101B" w14:textId="03979C43" w:rsidR="00C36766" w:rsidRPr="005A2C37" w:rsidRDefault="005A2C37" w:rsidP="00DD749D">
            <w:pPr>
              <w:pStyle w:val="TableText"/>
              <w:keepNext/>
              <w:rPr>
                <w:rFonts w:ascii="Arial" w:hAnsi="Arial" w:cs="Arial"/>
              </w:rPr>
            </w:pPr>
            <w:r w:rsidRPr="005A2C37">
              <w:rPr>
                <w:rFonts w:ascii="Arial" w:hAnsi="Arial" w:cs="Arial"/>
                <w:szCs w:val="20"/>
              </w:rPr>
              <w:t>Group Manager, Operations</w:t>
            </w:r>
          </w:p>
        </w:tc>
      </w:tr>
      <w:tr w:rsidR="00C36766" w:rsidRPr="00C36766" w14:paraId="0C97E808" w14:textId="77777777" w:rsidTr="00696D5C">
        <w:tc>
          <w:tcPr>
            <w:tcW w:w="2502" w:type="dxa"/>
            <w:shd w:val="clear" w:color="auto" w:fill="D9D9D9"/>
          </w:tcPr>
          <w:p w14:paraId="16E0F6CF" w14:textId="77777777" w:rsidR="00C36766" w:rsidRPr="00C36766" w:rsidRDefault="00C36766" w:rsidP="00DD749D">
            <w:pPr>
              <w:pStyle w:val="TableText"/>
              <w:rPr>
                <w:rFonts w:ascii="Arial" w:hAnsi="Arial" w:cs="Arial"/>
                <w:b/>
              </w:rPr>
            </w:pPr>
            <w:r w:rsidRPr="00C36766">
              <w:rPr>
                <w:rFonts w:ascii="Arial" w:hAnsi="Arial" w:cs="Arial"/>
                <w:b/>
              </w:rPr>
              <w:t>Responsible for:</w:t>
            </w:r>
          </w:p>
        </w:tc>
        <w:tc>
          <w:tcPr>
            <w:tcW w:w="7584" w:type="dxa"/>
          </w:tcPr>
          <w:p w14:paraId="4F691001" w14:textId="52421A19" w:rsidR="00C36766" w:rsidRPr="00C36766" w:rsidRDefault="005A2C37" w:rsidP="00DD749D">
            <w:pPr>
              <w:pStyle w:val="TableText"/>
              <w:rPr>
                <w:rFonts w:ascii="Arial" w:hAnsi="Arial" w:cs="Arial"/>
              </w:rPr>
            </w:pPr>
            <w:r>
              <w:rPr>
                <w:rFonts w:ascii="Arial" w:hAnsi="Arial" w:cs="Arial"/>
              </w:rPr>
              <w:t>No direct reports</w:t>
            </w:r>
          </w:p>
        </w:tc>
      </w:tr>
      <w:tr w:rsidR="00C36766" w:rsidRPr="00C36766" w14:paraId="53748D18" w14:textId="77777777" w:rsidTr="00696D5C">
        <w:tc>
          <w:tcPr>
            <w:tcW w:w="2502" w:type="dxa"/>
            <w:shd w:val="clear" w:color="auto" w:fill="D9D9D9"/>
          </w:tcPr>
          <w:p w14:paraId="3AAD4370" w14:textId="77777777" w:rsidR="00C36766" w:rsidRPr="00C36766" w:rsidRDefault="00C36766" w:rsidP="00DD749D">
            <w:pPr>
              <w:pStyle w:val="TableText"/>
              <w:rPr>
                <w:rFonts w:ascii="Arial" w:hAnsi="Arial" w:cs="Arial"/>
                <w:b/>
              </w:rPr>
            </w:pPr>
            <w:r w:rsidRPr="00C36766">
              <w:rPr>
                <w:rFonts w:ascii="Arial" w:hAnsi="Arial" w:cs="Arial"/>
                <w:b/>
              </w:rPr>
              <w:t>Internal Ministry relationships:</w:t>
            </w:r>
          </w:p>
        </w:tc>
        <w:tc>
          <w:tcPr>
            <w:tcW w:w="7584" w:type="dxa"/>
          </w:tcPr>
          <w:p w14:paraId="4C429747" w14:textId="77777777" w:rsidR="005E72BE" w:rsidRPr="00820314" w:rsidRDefault="005E72BE" w:rsidP="00820314">
            <w:pPr>
              <w:pStyle w:val="TableBullet"/>
              <w:numPr>
                <w:ilvl w:val="0"/>
                <w:numId w:val="20"/>
              </w:numPr>
              <w:ind w:left="346"/>
              <w:rPr>
                <w:rFonts w:ascii="Arial" w:hAnsi="Arial" w:cs="Arial"/>
              </w:rPr>
            </w:pPr>
            <w:r w:rsidRPr="00820314">
              <w:rPr>
                <w:rFonts w:ascii="Arial" w:hAnsi="Arial" w:cs="Arial"/>
              </w:rPr>
              <w:t>H&amp;S Representatives and Committees</w:t>
            </w:r>
          </w:p>
          <w:p w14:paraId="09E56DD1" w14:textId="41B2ABBD" w:rsidR="00820314" w:rsidRPr="00820314" w:rsidRDefault="00820314" w:rsidP="00820314">
            <w:pPr>
              <w:pStyle w:val="TableBullet"/>
              <w:numPr>
                <w:ilvl w:val="0"/>
                <w:numId w:val="20"/>
              </w:numPr>
              <w:ind w:left="346"/>
              <w:rPr>
                <w:rFonts w:ascii="Arial" w:hAnsi="Arial" w:cs="Arial"/>
              </w:rPr>
            </w:pPr>
            <w:r w:rsidRPr="00820314">
              <w:rPr>
                <w:rFonts w:ascii="Arial" w:hAnsi="Arial" w:cs="Arial"/>
              </w:rPr>
              <w:t>ELT member responsible for Health and Safety</w:t>
            </w:r>
          </w:p>
          <w:p w14:paraId="31B25171" w14:textId="77777777" w:rsidR="005E72BE" w:rsidRPr="00820314" w:rsidRDefault="005E72BE" w:rsidP="00820314">
            <w:pPr>
              <w:pStyle w:val="TableBullet"/>
              <w:numPr>
                <w:ilvl w:val="0"/>
                <w:numId w:val="20"/>
              </w:numPr>
              <w:ind w:left="346"/>
              <w:rPr>
                <w:rFonts w:ascii="Arial" w:hAnsi="Arial" w:cs="Arial"/>
              </w:rPr>
            </w:pPr>
            <w:r w:rsidRPr="00820314">
              <w:rPr>
                <w:rFonts w:ascii="Arial" w:hAnsi="Arial" w:cs="Arial"/>
              </w:rPr>
              <w:t>Staff and managers across the Ministry</w:t>
            </w:r>
          </w:p>
          <w:p w14:paraId="2400F2EF" w14:textId="17A52676" w:rsidR="00C36766" w:rsidRPr="00BB2BD7" w:rsidRDefault="00BB2BD7" w:rsidP="00820314">
            <w:pPr>
              <w:pStyle w:val="TableBullet"/>
              <w:numPr>
                <w:ilvl w:val="0"/>
                <w:numId w:val="20"/>
              </w:numPr>
              <w:ind w:left="346"/>
              <w:rPr>
                <w:rFonts w:ascii="Arial" w:hAnsi="Arial" w:cs="Arial"/>
                <w:szCs w:val="20"/>
              </w:rPr>
            </w:pPr>
            <w:r w:rsidRPr="00820314">
              <w:rPr>
                <w:rFonts w:ascii="Arial" w:hAnsi="Arial" w:cs="Arial"/>
              </w:rPr>
              <w:t>People and Transformation team</w:t>
            </w:r>
          </w:p>
        </w:tc>
      </w:tr>
      <w:tr w:rsidR="00C36766" w:rsidRPr="00C36766" w14:paraId="3E9B4E71" w14:textId="77777777" w:rsidTr="00696D5C">
        <w:tc>
          <w:tcPr>
            <w:tcW w:w="2502" w:type="dxa"/>
            <w:shd w:val="clear" w:color="auto" w:fill="D9D9D9"/>
          </w:tcPr>
          <w:p w14:paraId="3955BC7E" w14:textId="77777777" w:rsidR="00C36766" w:rsidRPr="00C36766" w:rsidRDefault="00C36766" w:rsidP="00DD749D">
            <w:pPr>
              <w:pStyle w:val="TableText"/>
              <w:rPr>
                <w:rFonts w:ascii="Arial" w:hAnsi="Arial" w:cs="Arial"/>
                <w:b/>
              </w:rPr>
            </w:pPr>
            <w:r w:rsidRPr="00C36766">
              <w:rPr>
                <w:rFonts w:ascii="Arial" w:hAnsi="Arial" w:cs="Arial"/>
                <w:b/>
              </w:rPr>
              <w:t>Public sector:</w:t>
            </w:r>
          </w:p>
        </w:tc>
        <w:tc>
          <w:tcPr>
            <w:tcW w:w="7584" w:type="dxa"/>
          </w:tcPr>
          <w:p w14:paraId="4FD84C4D" w14:textId="77777777" w:rsidR="00A55719" w:rsidRPr="00820314" w:rsidRDefault="00A55719" w:rsidP="00820314">
            <w:pPr>
              <w:pStyle w:val="TableBullet"/>
              <w:numPr>
                <w:ilvl w:val="0"/>
                <w:numId w:val="20"/>
              </w:numPr>
              <w:ind w:left="346"/>
              <w:rPr>
                <w:rFonts w:ascii="Arial" w:hAnsi="Arial" w:cs="Arial"/>
              </w:rPr>
            </w:pPr>
            <w:r w:rsidRPr="00820314">
              <w:rPr>
                <w:rFonts w:ascii="Arial" w:hAnsi="Arial" w:cs="Arial"/>
              </w:rPr>
              <w:t>Other government departments and agencies including relevant Crown entities, the State Services Commission, the Ministry of Business, Innovation and Employment, ACC</w:t>
            </w:r>
          </w:p>
          <w:p w14:paraId="37F4158B" w14:textId="77777777" w:rsidR="00A55719" w:rsidRPr="00820314" w:rsidRDefault="00A55719" w:rsidP="00820314">
            <w:pPr>
              <w:pStyle w:val="TableBullet"/>
              <w:numPr>
                <w:ilvl w:val="0"/>
                <w:numId w:val="20"/>
              </w:numPr>
              <w:ind w:left="346"/>
              <w:rPr>
                <w:rFonts w:ascii="Arial" w:hAnsi="Arial" w:cs="Arial"/>
              </w:rPr>
            </w:pPr>
            <w:r w:rsidRPr="00820314">
              <w:rPr>
                <w:rFonts w:ascii="Arial" w:hAnsi="Arial" w:cs="Arial"/>
              </w:rPr>
              <w:t>Unions and employee representatives or advocacy groups</w:t>
            </w:r>
          </w:p>
          <w:p w14:paraId="29EB3ABB" w14:textId="77777777" w:rsidR="00A55719" w:rsidRPr="00820314" w:rsidRDefault="00A55719" w:rsidP="00820314">
            <w:pPr>
              <w:pStyle w:val="TableBullet"/>
              <w:numPr>
                <w:ilvl w:val="0"/>
                <w:numId w:val="20"/>
              </w:numPr>
              <w:ind w:left="346"/>
              <w:rPr>
                <w:rFonts w:ascii="Arial" w:hAnsi="Arial" w:cs="Arial"/>
              </w:rPr>
            </w:pPr>
            <w:r w:rsidRPr="00820314">
              <w:rPr>
                <w:rFonts w:ascii="Arial" w:hAnsi="Arial" w:cs="Arial"/>
              </w:rPr>
              <w:t>Professional, academic and community groups</w:t>
            </w:r>
          </w:p>
          <w:p w14:paraId="292D0165" w14:textId="76132475" w:rsidR="00C36766" w:rsidRPr="00C36766" w:rsidRDefault="00A55719" w:rsidP="00820314">
            <w:pPr>
              <w:pStyle w:val="TableBullet"/>
              <w:numPr>
                <w:ilvl w:val="0"/>
                <w:numId w:val="20"/>
              </w:numPr>
              <w:ind w:left="346"/>
              <w:rPr>
                <w:rFonts w:ascii="Arial" w:hAnsi="Arial" w:cs="Arial"/>
              </w:rPr>
            </w:pPr>
            <w:r w:rsidRPr="00820314">
              <w:rPr>
                <w:rFonts w:ascii="Arial" w:hAnsi="Arial" w:cs="Arial"/>
              </w:rPr>
              <w:t>Suppliers</w:t>
            </w:r>
          </w:p>
        </w:tc>
      </w:tr>
    </w:tbl>
    <w:p w14:paraId="143F8505" w14:textId="77777777" w:rsidR="00C36766" w:rsidRPr="00C36766" w:rsidRDefault="00C36766" w:rsidP="00C36766">
      <w:pPr>
        <w:rPr>
          <w:rFonts w:cs="Arial"/>
        </w:rPr>
      </w:pPr>
    </w:p>
    <w:p w14:paraId="63DED8BF" w14:textId="38BCDCFB" w:rsidR="00C36766" w:rsidRDefault="006F16F8" w:rsidP="00C36766">
      <w:pPr>
        <w:pStyle w:val="Heading1"/>
      </w:pPr>
      <w:r>
        <w:lastRenderedPageBreak/>
        <w:t xml:space="preserve">Core Ministry </w:t>
      </w:r>
      <w:r w:rsidRPr="00C36766">
        <w:t>Behaviours</w:t>
      </w:r>
    </w:p>
    <w:tbl>
      <w:tblPr>
        <w:tblW w:w="10206" w:type="dxa"/>
        <w:tblInd w:w="108" w:type="dxa"/>
        <w:tblLayout w:type="fixed"/>
        <w:tblLook w:val="00A0" w:firstRow="1" w:lastRow="0" w:firstColumn="1" w:lastColumn="0" w:noHBand="0" w:noVBand="0"/>
      </w:tblPr>
      <w:tblGrid>
        <w:gridCol w:w="2694"/>
        <w:gridCol w:w="7512"/>
      </w:tblGrid>
      <w:tr w:rsidR="00FA665E" w:rsidRPr="001033CB" w14:paraId="12982869"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772DFF9C" w14:textId="77777777" w:rsidR="00FA665E" w:rsidRPr="00FA665E" w:rsidRDefault="00FA665E" w:rsidP="00FA665E">
            <w:pPr>
              <w:spacing w:before="80" w:after="80"/>
              <w:rPr>
                <w:rFonts w:cs="Arial"/>
                <w:b/>
              </w:rPr>
            </w:pPr>
            <w:r w:rsidRPr="00FA665E">
              <w:rPr>
                <w:rFonts w:cs="Arial"/>
                <w:b/>
              </w:rPr>
              <w:t>Client focused</w:t>
            </w:r>
          </w:p>
          <w:p w14:paraId="3AB3F6EA" w14:textId="77777777" w:rsidR="00FA665E" w:rsidRPr="00FA665E" w:rsidRDefault="00FA665E" w:rsidP="00FA665E">
            <w:pPr>
              <w:spacing w:before="80" w:after="80"/>
              <w:rPr>
                <w:rFonts w:cs="Arial"/>
                <w:b/>
              </w:rPr>
            </w:pP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25143092" w14:textId="77777777" w:rsidR="00FA665E" w:rsidRPr="00FA665E" w:rsidRDefault="00FA665E" w:rsidP="003A610A">
            <w:pPr>
              <w:pStyle w:val="NoSpacing"/>
            </w:pPr>
            <w:r w:rsidRPr="00FA665E">
              <w:t xml:space="preserve">Identifies the client, builds and maintains strong relationships; listens and learns about who they are. Is responsive and open to feedback; is dedicated to exceeding expectations and requirements of both internal and external clients. Anticipates client needs; makes decisions and takes action collaboratively gaining and maintaining trust and respect. </w:t>
            </w:r>
          </w:p>
        </w:tc>
      </w:tr>
      <w:tr w:rsidR="00FA665E" w:rsidRPr="001033CB" w14:paraId="0B42834F"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7252EFAD" w14:textId="77777777" w:rsidR="00FA665E" w:rsidRPr="00FA665E" w:rsidRDefault="00FA665E" w:rsidP="00FA665E">
            <w:pPr>
              <w:spacing w:before="80" w:after="80"/>
              <w:rPr>
                <w:rFonts w:cs="Arial"/>
                <w:b/>
              </w:rPr>
            </w:pPr>
            <w:r w:rsidRPr="00FA665E">
              <w:rPr>
                <w:rFonts w:cs="Arial"/>
                <w:b/>
              </w:rPr>
              <w:t>Responsiveness to Māori</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72C1AE24" w14:textId="77777777" w:rsidR="00FA665E" w:rsidRPr="00FA665E" w:rsidRDefault="00FA665E" w:rsidP="00FA665E">
            <w:pPr>
              <w:spacing w:before="80" w:after="80"/>
              <w:rPr>
                <w:rFonts w:cs="Arial"/>
              </w:rPr>
            </w:pPr>
            <w:r w:rsidRPr="00FA665E">
              <w:rPr>
                <w:rFonts w:cs="Arial"/>
              </w:rPr>
              <w:t xml:space="preserve">Understands the role of the Ministry and health and disability sector in achieving equity and improving Māori health outcomes. Demonstrates how to implement this in terms of system change, policy development and processes, and in service design and delivery. Demonstrates an understanding of Te Tiriti o Waitangi and whānau, hapū, iwi needs, engagement and context. </w:t>
            </w:r>
          </w:p>
        </w:tc>
      </w:tr>
      <w:tr w:rsidR="00FA665E" w:rsidRPr="001033CB" w14:paraId="4304AD03"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11B4144A" w14:textId="77777777" w:rsidR="00FA665E" w:rsidRPr="00FA665E" w:rsidRDefault="00FA665E" w:rsidP="00FA665E">
            <w:pPr>
              <w:spacing w:before="80" w:after="80"/>
              <w:rPr>
                <w:rFonts w:cs="Arial"/>
                <w:b/>
              </w:rPr>
            </w:pPr>
            <w:r w:rsidRPr="00FA665E">
              <w:rPr>
                <w:rFonts w:cs="Arial"/>
                <w:b/>
              </w:rPr>
              <w:t>Values diversity</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447B2343" w14:textId="77777777" w:rsidR="00FA665E" w:rsidRPr="00FA665E" w:rsidRDefault="00FA665E" w:rsidP="003A610A">
            <w:pPr>
              <w:pStyle w:val="NoSpacing"/>
            </w:pPr>
            <w:r w:rsidRPr="00FA665E">
              <w:t xml:space="preserve">Recognises that all perspectives and experiences make us better at what we do and encourages this value. Supports the Ministry in reducing barriers and drawing on the capabilities and insights of others. Supports an inclusive work environment. </w:t>
            </w:r>
          </w:p>
        </w:tc>
      </w:tr>
      <w:tr w:rsidR="00FA665E" w:rsidRPr="001033CB" w14:paraId="27CEBB13"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256E269B" w14:textId="77777777" w:rsidR="00FA665E" w:rsidRPr="00FA665E" w:rsidRDefault="00FA665E" w:rsidP="00FA665E">
            <w:pPr>
              <w:spacing w:before="80" w:after="80"/>
              <w:rPr>
                <w:rFonts w:cs="Arial"/>
                <w:b/>
              </w:rPr>
            </w:pPr>
            <w:r w:rsidRPr="00FA665E">
              <w:rPr>
                <w:rFonts w:cs="Arial"/>
                <w:b/>
              </w:rPr>
              <w:t>Actively collaborates</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0DCBCBF9" w14:textId="77777777" w:rsidR="00FA665E" w:rsidRPr="00FA665E" w:rsidRDefault="00FA665E" w:rsidP="00FA665E">
            <w:pPr>
              <w:spacing w:before="80" w:after="80"/>
              <w:rPr>
                <w:rFonts w:cs="Arial"/>
              </w:rPr>
            </w:pPr>
            <w:r w:rsidRPr="00FA665E">
              <w:rPr>
                <w:rFonts w:cs="Arial"/>
              </w:rPr>
              <w:t xml:space="preserve">Works effectively and cooperatively with others. Establishes and maintains good working relationships by relating well with all people inside and outside of the Ministry; builds networks and partnerships that contribute to common goals. Uses active listening, diplomacy and tact to build agreements. </w:t>
            </w:r>
          </w:p>
          <w:p w14:paraId="5E5CC3C1" w14:textId="77777777" w:rsidR="00FA665E" w:rsidRPr="00FA665E" w:rsidRDefault="00FA665E" w:rsidP="00FA665E">
            <w:pPr>
              <w:spacing w:before="80" w:after="80"/>
              <w:rPr>
                <w:rFonts w:cs="Arial"/>
              </w:rPr>
            </w:pPr>
            <w:r w:rsidRPr="00FA665E">
              <w:rPr>
                <w:rFonts w:cs="Arial"/>
              </w:rPr>
              <w:t xml:space="preserve">Supports seeking mutually beneficial solutions where feasible. </w:t>
            </w:r>
          </w:p>
        </w:tc>
      </w:tr>
      <w:tr w:rsidR="00FA665E" w:rsidRPr="001033CB" w14:paraId="02C6DDE2"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40EB9A53" w14:textId="77777777" w:rsidR="00FA665E" w:rsidRPr="00FA665E" w:rsidRDefault="00FA665E" w:rsidP="00FA665E">
            <w:pPr>
              <w:spacing w:before="80" w:after="80"/>
              <w:rPr>
                <w:rFonts w:cs="Arial"/>
                <w:b/>
              </w:rPr>
            </w:pPr>
            <w:r w:rsidRPr="00FA665E">
              <w:rPr>
                <w:rFonts w:cs="Arial"/>
                <w:b/>
              </w:rPr>
              <w:t>Instils trust and confidence</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298C3480" w14:textId="77777777" w:rsidR="00FA665E" w:rsidRPr="00FA665E" w:rsidRDefault="00FA665E" w:rsidP="003A610A">
            <w:pPr>
              <w:pStyle w:val="NoSpacing"/>
            </w:pPr>
            <w:r w:rsidRPr="00FA665E">
              <w:t xml:space="preserve">Gains the confidence and trust of others through honesty, integrity and authenticity. Treats others with dignity and respect. Maintains composure under pressure; is open and transparent about goals and motivation; and seeks to bring out the best in others. </w:t>
            </w:r>
          </w:p>
        </w:tc>
      </w:tr>
      <w:tr w:rsidR="00FA665E" w:rsidRPr="001033CB" w14:paraId="50625CCE"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223AD03D" w14:textId="77777777" w:rsidR="00FA665E" w:rsidRPr="00FA665E" w:rsidRDefault="00FA665E" w:rsidP="00FA665E">
            <w:pPr>
              <w:spacing w:before="80" w:after="80"/>
              <w:rPr>
                <w:rFonts w:cs="Arial"/>
                <w:b/>
              </w:rPr>
            </w:pPr>
            <w:r w:rsidRPr="00FA665E">
              <w:rPr>
                <w:rFonts w:cs="Arial"/>
                <w:b/>
              </w:rPr>
              <w:t>Cultivates innovation</w:t>
            </w:r>
          </w:p>
          <w:p w14:paraId="45538349" w14:textId="77777777" w:rsidR="00FA665E" w:rsidRPr="00FA665E" w:rsidRDefault="00FA665E" w:rsidP="00FA665E">
            <w:pPr>
              <w:spacing w:before="80" w:after="80"/>
              <w:rPr>
                <w:rFonts w:cs="Arial"/>
                <w:b/>
              </w:rPr>
            </w:pP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2FE0712B" w14:textId="77777777" w:rsidR="00FA665E" w:rsidRPr="00FA665E" w:rsidRDefault="00FA665E" w:rsidP="00FA665E">
            <w:pPr>
              <w:spacing w:before="80" w:after="80"/>
              <w:rPr>
                <w:rFonts w:cs="Arial"/>
              </w:rPr>
            </w:pPr>
            <w:r w:rsidRPr="00FA665E">
              <w:rPr>
                <w:rFonts w:cs="Arial"/>
              </w:rPr>
              <w:t xml:space="preserve">Creates new and better ways to succeed by improving performance, adapting to change and making use of technologies. Seeks win-win solutions by challenging the current ways of working, examining processes and systems to achieve high-quality outcomes. Takes appropriate risks and learns from previous experiences. </w:t>
            </w:r>
          </w:p>
        </w:tc>
      </w:tr>
      <w:tr w:rsidR="00FA665E" w:rsidRPr="001033CB" w14:paraId="4D51F499"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688F3109" w14:textId="77777777" w:rsidR="00FA665E" w:rsidRPr="00FA665E" w:rsidRDefault="00FA665E" w:rsidP="00FA665E">
            <w:pPr>
              <w:spacing w:before="80" w:after="80"/>
              <w:rPr>
                <w:rFonts w:cs="Arial"/>
                <w:b/>
              </w:rPr>
            </w:pPr>
            <w:r w:rsidRPr="00FA665E">
              <w:rPr>
                <w:rFonts w:cs="Arial"/>
                <w:b/>
              </w:rPr>
              <w:t>Drives results</w:t>
            </w:r>
          </w:p>
          <w:p w14:paraId="58591D2E" w14:textId="77777777" w:rsidR="00FA665E" w:rsidRPr="00FA665E" w:rsidRDefault="00FA665E" w:rsidP="00FA665E">
            <w:pPr>
              <w:spacing w:before="80" w:after="80"/>
              <w:rPr>
                <w:rFonts w:cs="Arial"/>
                <w:b/>
              </w:rPr>
            </w:pP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2C66CC70" w14:textId="2C239F5B" w:rsidR="00FA665E" w:rsidRPr="003A610A" w:rsidRDefault="00FA665E" w:rsidP="003A610A">
            <w:pPr>
              <w:pStyle w:val="NoSpacing"/>
            </w:pPr>
            <w:r w:rsidRPr="00FA665E">
              <w:t xml:space="preserve">Is proactive and works to improve outcomes while considering short-term and long-term priorities. Changes direction when appropriate. </w:t>
            </w:r>
            <w:r w:rsidRPr="003A610A">
              <w:t xml:space="preserve">Aligns support for positive outcomes; explored new opportunities and ensures appropriate measurement processes are used and communicated. </w:t>
            </w:r>
          </w:p>
          <w:p w14:paraId="7EBDAAE4" w14:textId="77777777" w:rsidR="00FA665E" w:rsidRPr="00FA665E" w:rsidRDefault="00FA665E" w:rsidP="003A610A">
            <w:pPr>
              <w:pStyle w:val="NoSpacing"/>
            </w:pPr>
            <w:r w:rsidRPr="00FA665E">
              <w:t xml:space="preserve">Acts in a way that supports others to achieve results. </w:t>
            </w:r>
          </w:p>
        </w:tc>
      </w:tr>
      <w:tr w:rsidR="00FA665E" w:rsidRPr="001033CB" w14:paraId="390A0280" w14:textId="77777777" w:rsidTr="00FA665E">
        <w:trPr>
          <w:cantSplit/>
        </w:trPr>
        <w:tc>
          <w:tcPr>
            <w:tcW w:w="2694" w:type="dxa"/>
            <w:tcBorders>
              <w:top w:val="single" w:sz="4" w:space="0" w:color="auto"/>
              <w:left w:val="single" w:sz="4" w:space="0" w:color="auto"/>
              <w:bottom w:val="single" w:sz="4" w:space="0" w:color="auto"/>
              <w:right w:val="single" w:sz="4" w:space="0" w:color="auto"/>
            </w:tcBorders>
            <w:shd w:val="clear" w:color="auto" w:fill="D9D9D9"/>
          </w:tcPr>
          <w:p w14:paraId="5C217084" w14:textId="77777777" w:rsidR="00FA665E" w:rsidRPr="00FA665E" w:rsidRDefault="00FA665E" w:rsidP="00FA665E">
            <w:pPr>
              <w:spacing w:before="80" w:after="80"/>
              <w:rPr>
                <w:rFonts w:cs="Arial"/>
                <w:b/>
              </w:rPr>
            </w:pPr>
            <w:r w:rsidRPr="00FA665E">
              <w:rPr>
                <w:rFonts w:cs="Arial"/>
                <w:b/>
              </w:rPr>
              <w:t>Makes informed decisions</w:t>
            </w:r>
          </w:p>
          <w:p w14:paraId="09E6571E" w14:textId="77777777" w:rsidR="00FA665E" w:rsidRPr="00FA665E" w:rsidRDefault="00FA665E" w:rsidP="00FA665E">
            <w:pPr>
              <w:spacing w:before="80" w:after="80"/>
              <w:rPr>
                <w:rFonts w:cs="Arial"/>
                <w:b/>
              </w:rPr>
            </w:pP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64A8C13C" w14:textId="77777777" w:rsidR="00FA665E" w:rsidRPr="00FA665E" w:rsidRDefault="00FA665E" w:rsidP="00FA665E">
            <w:pPr>
              <w:spacing w:before="80" w:after="80"/>
              <w:rPr>
                <w:rFonts w:cs="Arial"/>
              </w:rPr>
            </w:pPr>
            <w:r w:rsidRPr="00FA665E">
              <w:rPr>
                <w:rFonts w:cs="Arial"/>
              </w:rPr>
              <w:t>Prioritises work. Makes decisions using judgement, wisdom, experience and analytics to weigh the options and facts. Seeks out all relevant information and best available evidence, challenges assumptions. Uses proven methods to manage uncertainty; moves forward even with incomplete information and tight deadlines. Sees the impact and implications of decisions; shows courage to change direction when necessary.</w:t>
            </w:r>
          </w:p>
        </w:tc>
      </w:tr>
    </w:tbl>
    <w:p w14:paraId="2AFE400A" w14:textId="77777777" w:rsidR="00C36766" w:rsidRPr="00C36766" w:rsidRDefault="00C36766" w:rsidP="00C36766">
      <w:pPr>
        <w:rPr>
          <w:rFonts w:cs="Arial"/>
        </w:rPr>
      </w:pPr>
    </w:p>
    <w:p w14:paraId="41C3BD9C" w14:textId="77777777" w:rsidR="00166853" w:rsidRDefault="00166853" w:rsidP="00166853">
      <w:pPr>
        <w:spacing w:after="200" w:line="276" w:lineRule="auto"/>
        <w:rPr>
          <w:b/>
          <w:sz w:val="24"/>
        </w:rPr>
      </w:pPr>
      <w:r>
        <w:rPr>
          <w:b/>
          <w:sz w:val="24"/>
        </w:rPr>
        <w:t>Key Selection Criteria</w:t>
      </w:r>
    </w:p>
    <w:p w14:paraId="0D4DF400" w14:textId="77777777" w:rsidR="00166853" w:rsidRDefault="00166853" w:rsidP="00166853">
      <w:pPr>
        <w:rPr>
          <w:rFonts w:cs="Arial"/>
        </w:rPr>
      </w:pPr>
      <w:r>
        <w:rPr>
          <w:rFonts w:cs="Arial"/>
        </w:rPr>
        <w:t>Your application documentation should address the key selection criteria developed for this role. To be considered for the role you need to demonstrate:</w:t>
      </w:r>
    </w:p>
    <w:p w14:paraId="02964DD0" w14:textId="77777777" w:rsidR="00166853" w:rsidRDefault="00166853" w:rsidP="00166853">
      <w:pPr>
        <w:keepNext/>
        <w:spacing w:before="240" w:after="120"/>
        <w:outlineLvl w:val="0"/>
        <w:rPr>
          <w:rFonts w:eastAsia="MS Mincho" w:cs="Arial"/>
          <w:b/>
          <w:bCs/>
          <w:sz w:val="24"/>
        </w:rPr>
      </w:pPr>
      <w:r>
        <w:rPr>
          <w:rFonts w:eastAsia="MS Mincho" w:cs="Arial"/>
          <w:b/>
          <w:bCs/>
          <w:sz w:val="24"/>
        </w:rPr>
        <w:t>Essential experience, skills and qualities</w:t>
      </w:r>
    </w:p>
    <w:p w14:paraId="06F38AA9" w14:textId="77777777" w:rsidR="005677B3" w:rsidRPr="005677B3" w:rsidRDefault="005677B3" w:rsidP="005677B3">
      <w:pPr>
        <w:numPr>
          <w:ilvl w:val="0"/>
          <w:numId w:val="17"/>
        </w:numPr>
        <w:spacing w:after="120" w:line="276" w:lineRule="auto"/>
        <w:ind w:left="709" w:hanging="283"/>
        <w:rPr>
          <w:rFonts w:eastAsia="Calibri" w:cs="Times New Roman"/>
          <w:szCs w:val="20"/>
          <w:lang w:bidi="ar-SA"/>
        </w:rPr>
      </w:pPr>
      <w:r w:rsidRPr="005677B3">
        <w:rPr>
          <w:rFonts w:eastAsia="Calibri" w:cs="Times New Roman"/>
          <w:szCs w:val="20"/>
          <w:lang w:bidi="ar-SA"/>
        </w:rPr>
        <w:t>Relevant tertiary qualification or equivalent knowledge, skills, and experience and a commitment to ongoing professional development</w:t>
      </w:r>
    </w:p>
    <w:p w14:paraId="481B1790" w14:textId="77777777" w:rsidR="005677B3" w:rsidRPr="005677B3" w:rsidRDefault="005677B3" w:rsidP="005677B3">
      <w:pPr>
        <w:numPr>
          <w:ilvl w:val="0"/>
          <w:numId w:val="17"/>
        </w:numPr>
        <w:spacing w:after="120" w:line="276" w:lineRule="auto"/>
        <w:ind w:left="426" w:firstLine="0"/>
        <w:rPr>
          <w:rFonts w:eastAsia="Calibri" w:cs="Times New Roman"/>
          <w:szCs w:val="20"/>
          <w:lang w:bidi="ar-SA"/>
        </w:rPr>
      </w:pPr>
      <w:r w:rsidRPr="005677B3">
        <w:rPr>
          <w:rFonts w:eastAsia="Calibri" w:cs="Times New Roman"/>
          <w:szCs w:val="20"/>
          <w:lang w:bidi="ar-SA"/>
        </w:rPr>
        <w:t>Able to gather information, conduct analysis and identify gaps</w:t>
      </w:r>
    </w:p>
    <w:p w14:paraId="5263C28F" w14:textId="77777777" w:rsidR="005677B3" w:rsidRPr="005677B3" w:rsidRDefault="005677B3" w:rsidP="005677B3">
      <w:pPr>
        <w:numPr>
          <w:ilvl w:val="0"/>
          <w:numId w:val="17"/>
        </w:numPr>
        <w:spacing w:after="120" w:line="276" w:lineRule="auto"/>
        <w:ind w:left="426" w:firstLine="0"/>
        <w:rPr>
          <w:rFonts w:eastAsia="Calibri" w:cs="Times New Roman"/>
          <w:szCs w:val="20"/>
          <w:lang w:bidi="ar-SA"/>
        </w:rPr>
      </w:pPr>
      <w:r w:rsidRPr="005677B3">
        <w:rPr>
          <w:rFonts w:eastAsia="Calibri" w:cs="Times New Roman"/>
          <w:szCs w:val="20"/>
          <w:lang w:bidi="ar-SA"/>
        </w:rPr>
        <w:t>Able to develop detailed plans and costing assessments</w:t>
      </w:r>
    </w:p>
    <w:p w14:paraId="582BBA38" w14:textId="77777777" w:rsidR="005677B3" w:rsidRPr="005677B3" w:rsidRDefault="005677B3" w:rsidP="005677B3">
      <w:pPr>
        <w:numPr>
          <w:ilvl w:val="0"/>
          <w:numId w:val="17"/>
        </w:numPr>
        <w:spacing w:after="120" w:line="276" w:lineRule="auto"/>
        <w:ind w:left="426" w:firstLine="0"/>
        <w:rPr>
          <w:rFonts w:eastAsia="Calibri" w:cs="Times New Roman"/>
          <w:szCs w:val="20"/>
          <w:lang w:bidi="ar-SA"/>
        </w:rPr>
      </w:pPr>
      <w:r w:rsidRPr="005677B3">
        <w:rPr>
          <w:rFonts w:eastAsia="Calibri" w:cs="Times New Roman"/>
          <w:szCs w:val="20"/>
          <w:lang w:bidi="ar-SA"/>
        </w:rPr>
        <w:t>Able to work with complex legislation</w:t>
      </w:r>
    </w:p>
    <w:p w14:paraId="2093E11E" w14:textId="77777777" w:rsidR="005677B3" w:rsidRPr="005677B3" w:rsidRDefault="005677B3" w:rsidP="005677B3">
      <w:pPr>
        <w:numPr>
          <w:ilvl w:val="0"/>
          <w:numId w:val="17"/>
        </w:numPr>
        <w:spacing w:after="120" w:line="276" w:lineRule="auto"/>
        <w:ind w:left="426" w:firstLine="0"/>
        <w:rPr>
          <w:rFonts w:eastAsia="Calibri" w:cs="Times New Roman"/>
          <w:szCs w:val="20"/>
          <w:lang w:bidi="ar-SA"/>
        </w:rPr>
      </w:pPr>
      <w:r w:rsidRPr="005677B3">
        <w:rPr>
          <w:rFonts w:eastAsia="Calibri" w:cs="Times New Roman"/>
          <w:szCs w:val="20"/>
          <w:lang w:bidi="ar-SA"/>
        </w:rPr>
        <w:t>Able to provide written reports, process documentation and presentations to a high standard</w:t>
      </w:r>
    </w:p>
    <w:p w14:paraId="64300F84" w14:textId="77777777" w:rsidR="005677B3" w:rsidRPr="005677B3" w:rsidRDefault="005677B3" w:rsidP="005677B3">
      <w:pPr>
        <w:numPr>
          <w:ilvl w:val="0"/>
          <w:numId w:val="17"/>
        </w:numPr>
        <w:spacing w:after="120" w:line="276" w:lineRule="auto"/>
        <w:ind w:left="426" w:firstLine="0"/>
        <w:rPr>
          <w:rFonts w:eastAsia="Calibri" w:cs="Times New Roman"/>
          <w:szCs w:val="20"/>
          <w:lang w:bidi="ar-SA"/>
        </w:rPr>
      </w:pPr>
      <w:r w:rsidRPr="005677B3">
        <w:rPr>
          <w:rFonts w:eastAsia="Calibri" w:cs="Times New Roman"/>
          <w:szCs w:val="20"/>
          <w:lang w:bidi="ar-SA"/>
        </w:rPr>
        <w:t>Able to influence others to enable delivery of process improvements</w:t>
      </w:r>
    </w:p>
    <w:p w14:paraId="22D03011" w14:textId="77777777" w:rsidR="005677B3" w:rsidRPr="005677B3" w:rsidRDefault="005677B3" w:rsidP="005677B3">
      <w:pPr>
        <w:numPr>
          <w:ilvl w:val="0"/>
          <w:numId w:val="17"/>
        </w:numPr>
        <w:spacing w:after="120" w:line="276" w:lineRule="auto"/>
        <w:ind w:left="709" w:hanging="283"/>
        <w:rPr>
          <w:rFonts w:eastAsia="Calibri" w:cs="Times New Roman"/>
          <w:szCs w:val="20"/>
          <w:lang w:bidi="ar-SA"/>
        </w:rPr>
      </w:pPr>
      <w:r w:rsidRPr="005677B3">
        <w:rPr>
          <w:rFonts w:eastAsia="Calibri" w:cs="Times New Roman"/>
          <w:szCs w:val="20"/>
          <w:lang w:bidi="ar-SA"/>
        </w:rPr>
        <w:t>Able to build and maintain positive stakeholder relationships and effective networks across and within organisations</w:t>
      </w:r>
    </w:p>
    <w:p w14:paraId="37A39FBF" w14:textId="77777777" w:rsidR="00166853" w:rsidRDefault="00166853" w:rsidP="00166853">
      <w:pPr>
        <w:keepNext/>
        <w:spacing w:before="240" w:after="120"/>
        <w:outlineLvl w:val="0"/>
        <w:rPr>
          <w:rFonts w:eastAsia="MS Mincho" w:cs="Arial"/>
          <w:b/>
          <w:bCs/>
          <w:sz w:val="24"/>
        </w:rPr>
      </w:pPr>
      <w:r>
        <w:rPr>
          <w:rFonts w:eastAsia="MS Mincho" w:cs="Arial"/>
          <w:b/>
          <w:bCs/>
          <w:sz w:val="24"/>
        </w:rPr>
        <w:lastRenderedPageBreak/>
        <w:t>Desirable experience, skills and qualities</w:t>
      </w:r>
    </w:p>
    <w:p w14:paraId="39B88A49" w14:textId="77777777" w:rsidR="005677B3" w:rsidRPr="005677B3" w:rsidRDefault="005677B3" w:rsidP="005677B3">
      <w:pPr>
        <w:pStyle w:val="JDbody"/>
        <w:numPr>
          <w:ilvl w:val="0"/>
          <w:numId w:val="11"/>
        </w:numPr>
        <w:rPr>
          <w:color w:val="auto"/>
        </w:rPr>
      </w:pPr>
      <w:r w:rsidRPr="005677B3">
        <w:rPr>
          <w:color w:val="auto"/>
        </w:rPr>
        <w:t>Providing policy or strategic advice at a senior level in a public sector organisation, or equivalent experience in a relevant field</w:t>
      </w:r>
    </w:p>
    <w:p w14:paraId="779DE4B6" w14:textId="77777777" w:rsidR="005677B3" w:rsidRPr="005677B3" w:rsidRDefault="005677B3" w:rsidP="005677B3">
      <w:pPr>
        <w:pStyle w:val="JDbody"/>
        <w:numPr>
          <w:ilvl w:val="0"/>
          <w:numId w:val="11"/>
        </w:numPr>
        <w:rPr>
          <w:color w:val="auto"/>
        </w:rPr>
      </w:pPr>
      <w:r w:rsidRPr="005677B3">
        <w:rPr>
          <w:color w:val="auto"/>
        </w:rPr>
        <w:t>Implementing health and safety best practice</w:t>
      </w:r>
    </w:p>
    <w:p w14:paraId="7F5C2448" w14:textId="77777777" w:rsidR="005677B3" w:rsidRPr="005677B3" w:rsidRDefault="005677B3" w:rsidP="005677B3">
      <w:pPr>
        <w:pStyle w:val="JDbody"/>
        <w:numPr>
          <w:ilvl w:val="0"/>
          <w:numId w:val="11"/>
        </w:numPr>
        <w:rPr>
          <w:color w:val="auto"/>
        </w:rPr>
      </w:pPr>
      <w:r w:rsidRPr="005677B3">
        <w:rPr>
          <w:color w:val="auto"/>
        </w:rPr>
        <w:t>Working on national projects and within governance structures</w:t>
      </w:r>
    </w:p>
    <w:p w14:paraId="0CE8DC44" w14:textId="77777777" w:rsidR="005677B3" w:rsidRPr="005677B3" w:rsidRDefault="005677B3" w:rsidP="005677B3">
      <w:pPr>
        <w:pStyle w:val="JDbody"/>
        <w:numPr>
          <w:ilvl w:val="0"/>
          <w:numId w:val="11"/>
        </w:numPr>
        <w:rPr>
          <w:color w:val="auto"/>
        </w:rPr>
      </w:pPr>
      <w:r w:rsidRPr="005677B3">
        <w:rPr>
          <w:color w:val="auto"/>
        </w:rPr>
        <w:t>Communicating with a wide range of audiences on complex issues</w:t>
      </w:r>
    </w:p>
    <w:p w14:paraId="5C56C4CA" w14:textId="77777777" w:rsidR="005677B3" w:rsidRPr="005677B3" w:rsidRDefault="005677B3" w:rsidP="005677B3">
      <w:pPr>
        <w:pStyle w:val="JDbody"/>
        <w:numPr>
          <w:ilvl w:val="0"/>
          <w:numId w:val="11"/>
        </w:numPr>
        <w:rPr>
          <w:color w:val="auto"/>
        </w:rPr>
      </w:pPr>
      <w:r w:rsidRPr="005677B3">
        <w:rPr>
          <w:color w:val="auto"/>
        </w:rPr>
        <w:t>Working with senior managers</w:t>
      </w:r>
    </w:p>
    <w:p w14:paraId="07C85A0B" w14:textId="21767695" w:rsidR="005677B3" w:rsidRPr="005677B3" w:rsidRDefault="005677B3" w:rsidP="005677B3">
      <w:pPr>
        <w:pStyle w:val="JDbody"/>
        <w:numPr>
          <w:ilvl w:val="0"/>
          <w:numId w:val="11"/>
        </w:numPr>
        <w:rPr>
          <w:color w:val="auto"/>
        </w:rPr>
      </w:pPr>
      <w:r w:rsidRPr="005677B3">
        <w:rPr>
          <w:color w:val="auto"/>
        </w:rPr>
        <w:t xml:space="preserve">Knowledge of the ACC </w:t>
      </w:r>
      <w:r w:rsidR="00A0341B">
        <w:rPr>
          <w:color w:val="auto"/>
        </w:rPr>
        <w:t>Partnership Programme</w:t>
      </w:r>
      <w:bookmarkStart w:id="0" w:name="_GoBack"/>
      <w:bookmarkEnd w:id="0"/>
    </w:p>
    <w:p w14:paraId="2C33179D" w14:textId="77777777" w:rsidR="005677B3" w:rsidRPr="005677B3" w:rsidRDefault="005677B3" w:rsidP="005677B3">
      <w:pPr>
        <w:pStyle w:val="JDbody"/>
        <w:numPr>
          <w:ilvl w:val="0"/>
          <w:numId w:val="11"/>
        </w:numPr>
        <w:rPr>
          <w:color w:val="auto"/>
        </w:rPr>
      </w:pPr>
      <w:r w:rsidRPr="005677B3">
        <w:rPr>
          <w:color w:val="auto"/>
        </w:rPr>
        <w:t>Understanding of public sector systems and processes, including accountability requirements</w:t>
      </w:r>
      <w:r w:rsidRPr="005677B3">
        <w:rPr>
          <w:rFonts w:cs="Arial"/>
          <w:color w:val="auto"/>
        </w:rPr>
        <w:t xml:space="preserve"> and the use of performance information to inform decision-making</w:t>
      </w:r>
    </w:p>
    <w:p w14:paraId="1B343AF4" w14:textId="11F9DDA4" w:rsidR="00166853" w:rsidRPr="005677B3" w:rsidRDefault="00166853" w:rsidP="005677B3">
      <w:pPr>
        <w:tabs>
          <w:tab w:val="left" w:pos="-720"/>
          <w:tab w:val="left" w:pos="0"/>
          <w:tab w:val="left" w:pos="720"/>
          <w:tab w:val="left" w:pos="1440"/>
          <w:tab w:val="left" w:pos="2160"/>
          <w:tab w:val="left" w:pos="2880"/>
          <w:tab w:val="left" w:pos="3600"/>
          <w:tab w:val="left" w:pos="4320"/>
        </w:tabs>
        <w:autoSpaceDE w:val="0"/>
        <w:autoSpaceDN w:val="0"/>
        <w:adjustRightInd w:val="0"/>
        <w:ind w:left="360"/>
        <w:contextualSpacing/>
        <w:rPr>
          <w:rFonts w:cs="Arial"/>
          <w:bCs/>
          <w:szCs w:val="20"/>
        </w:rPr>
      </w:pPr>
    </w:p>
    <w:p w14:paraId="3DC670F1" w14:textId="77777777" w:rsidR="00166853" w:rsidRDefault="00166853" w:rsidP="00166853"/>
    <w:p w14:paraId="00E7A047" w14:textId="77777777" w:rsidR="00166853" w:rsidRDefault="00166853" w:rsidP="00166853"/>
    <w:p w14:paraId="50FC6549" w14:textId="0A1F09DE" w:rsidR="00C36766" w:rsidRPr="00C36766" w:rsidRDefault="00C36766" w:rsidP="00C36766">
      <w:pPr>
        <w:rPr>
          <w:rFonts w:cs="Arial"/>
        </w:rPr>
      </w:pPr>
    </w:p>
    <w:sectPr w:rsidR="00C36766" w:rsidRPr="00C36766" w:rsidSect="00DD749D">
      <w:footerReference w:type="default" r:id="rId9"/>
      <w:pgSz w:w="11906" w:h="16838" w:code="9"/>
      <w:pgMar w:top="851" w:right="851" w:bottom="851" w:left="851" w:header="425"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163B57" w14:textId="77777777" w:rsidR="005E0863" w:rsidRDefault="005E0863">
      <w:r>
        <w:separator/>
      </w:r>
    </w:p>
  </w:endnote>
  <w:endnote w:type="continuationSeparator" w:id="0">
    <w:p w14:paraId="4526667B" w14:textId="77777777" w:rsidR="005E0863" w:rsidRDefault="005E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BE1EE" w14:textId="2CEA7D1C" w:rsidR="00881F7F" w:rsidRDefault="00881F7F" w:rsidP="007C6D17">
    <w:pPr>
      <w:pStyle w:val="Footer"/>
    </w:pPr>
    <w:r>
      <w:t xml:space="preserve">Position Description </w:t>
    </w:r>
    <w:r>
      <w:rPr>
        <w:highlight w:val="lightGray"/>
      </w:rPr>
      <w:t>Principal Health &amp; Safety Advisor</w:t>
    </w:r>
    <w:r>
      <w:tab/>
    </w:r>
    <w:r>
      <w:rPr>
        <w:rStyle w:val="PageNumber"/>
      </w:rPr>
      <w:fldChar w:fldCharType="begin"/>
    </w:r>
    <w:r>
      <w:rPr>
        <w:rStyle w:val="PageNumber"/>
      </w:rPr>
      <w:instrText xml:space="preserve"> PAGE </w:instrText>
    </w:r>
    <w:r>
      <w:rPr>
        <w:rStyle w:val="PageNumber"/>
      </w:rPr>
      <w:fldChar w:fldCharType="separate"/>
    </w:r>
    <w:r w:rsidR="00A0341B">
      <w:rPr>
        <w:rStyle w:val="PageNumber"/>
        <w:noProof/>
      </w:rPr>
      <w:t>4</w:t>
    </w:r>
    <w:r>
      <w:rPr>
        <w:rStyle w:val="PageNumber"/>
      </w:rPr>
      <w:fldChar w:fldCharType="end"/>
    </w:r>
  </w:p>
  <w:p w14:paraId="2637602C" w14:textId="77777777" w:rsidR="00881F7F" w:rsidRPr="007C6D17" w:rsidRDefault="00881F7F" w:rsidP="007C6D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1D06B4" w14:textId="77777777" w:rsidR="005E0863" w:rsidRDefault="005E0863">
      <w:r>
        <w:separator/>
      </w:r>
    </w:p>
  </w:footnote>
  <w:footnote w:type="continuationSeparator" w:id="0">
    <w:p w14:paraId="63BD933E" w14:textId="77777777" w:rsidR="005E0863" w:rsidRDefault="005E08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numPicBullet w:numPicBulletId="2">
    <w:pict>
      <v:shape id="_x0000_i1034" type="#_x0000_t75" style="width:3in;height:3in" o:bullet="t"/>
    </w:pict>
  </w:numPicBullet>
  <w:numPicBullet w:numPicBulletId="3">
    <w:pict>
      <v:shape id="_x0000_i1035" type="#_x0000_t75" style="width:3in;height:3in" o:bullet="t"/>
    </w:pict>
  </w:numPicBullet>
  <w:abstractNum w:abstractNumId="0">
    <w:nsid w:val="0B6B26ED"/>
    <w:multiLevelType w:val="hybridMultilevel"/>
    <w:tmpl w:val="0B1ECA88"/>
    <w:lvl w:ilvl="0" w:tplc="14090001">
      <w:start w:val="1"/>
      <w:numFmt w:val="bullet"/>
      <w:lvlText w:val=""/>
      <w:lvlJc w:val="left"/>
      <w:pPr>
        <w:ind w:left="720" w:hanging="360"/>
      </w:pPr>
      <w:rPr>
        <w:rFonts w:ascii="Symbol" w:hAnsi="Symbol" w:hint="default"/>
      </w:rPr>
    </w:lvl>
    <w:lvl w:ilvl="1" w:tplc="441C58D0">
      <w:numFmt w:val="bullet"/>
      <w:lvlText w:val="·"/>
      <w:lvlJc w:val="left"/>
      <w:pPr>
        <w:ind w:left="1440" w:hanging="360"/>
      </w:pPr>
      <w:rPr>
        <w:rFonts w:ascii="Times New Roman" w:eastAsia="Times New Roman" w:hAnsi="Times New Roman"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D2F3F5C"/>
    <w:multiLevelType w:val="hybridMultilevel"/>
    <w:tmpl w:val="FCF63156"/>
    <w:lvl w:ilvl="0" w:tplc="14090001">
      <w:start w:val="1"/>
      <w:numFmt w:val="bullet"/>
      <w:lvlText w:val=""/>
      <w:lvlJc w:val="left"/>
      <w:pPr>
        <w:ind w:left="1602" w:hanging="360"/>
      </w:pPr>
      <w:rPr>
        <w:rFonts w:ascii="Symbol" w:hAnsi="Symbol" w:hint="default"/>
      </w:rPr>
    </w:lvl>
    <w:lvl w:ilvl="1" w:tplc="14090003" w:tentative="1">
      <w:start w:val="1"/>
      <w:numFmt w:val="bullet"/>
      <w:lvlText w:val="o"/>
      <w:lvlJc w:val="left"/>
      <w:pPr>
        <w:ind w:left="2322" w:hanging="360"/>
      </w:pPr>
      <w:rPr>
        <w:rFonts w:ascii="Courier New" w:hAnsi="Courier New" w:cs="Courier New" w:hint="default"/>
      </w:rPr>
    </w:lvl>
    <w:lvl w:ilvl="2" w:tplc="14090005" w:tentative="1">
      <w:start w:val="1"/>
      <w:numFmt w:val="bullet"/>
      <w:lvlText w:val=""/>
      <w:lvlJc w:val="left"/>
      <w:pPr>
        <w:ind w:left="3042" w:hanging="360"/>
      </w:pPr>
      <w:rPr>
        <w:rFonts w:ascii="Wingdings" w:hAnsi="Wingdings" w:hint="default"/>
      </w:rPr>
    </w:lvl>
    <w:lvl w:ilvl="3" w:tplc="14090001" w:tentative="1">
      <w:start w:val="1"/>
      <w:numFmt w:val="bullet"/>
      <w:lvlText w:val=""/>
      <w:lvlJc w:val="left"/>
      <w:pPr>
        <w:ind w:left="3762" w:hanging="360"/>
      </w:pPr>
      <w:rPr>
        <w:rFonts w:ascii="Symbol" w:hAnsi="Symbol" w:hint="default"/>
      </w:rPr>
    </w:lvl>
    <w:lvl w:ilvl="4" w:tplc="14090003" w:tentative="1">
      <w:start w:val="1"/>
      <w:numFmt w:val="bullet"/>
      <w:lvlText w:val="o"/>
      <w:lvlJc w:val="left"/>
      <w:pPr>
        <w:ind w:left="4482" w:hanging="360"/>
      </w:pPr>
      <w:rPr>
        <w:rFonts w:ascii="Courier New" w:hAnsi="Courier New" w:cs="Courier New" w:hint="default"/>
      </w:rPr>
    </w:lvl>
    <w:lvl w:ilvl="5" w:tplc="14090005" w:tentative="1">
      <w:start w:val="1"/>
      <w:numFmt w:val="bullet"/>
      <w:lvlText w:val=""/>
      <w:lvlJc w:val="left"/>
      <w:pPr>
        <w:ind w:left="5202" w:hanging="360"/>
      </w:pPr>
      <w:rPr>
        <w:rFonts w:ascii="Wingdings" w:hAnsi="Wingdings" w:hint="default"/>
      </w:rPr>
    </w:lvl>
    <w:lvl w:ilvl="6" w:tplc="14090001" w:tentative="1">
      <w:start w:val="1"/>
      <w:numFmt w:val="bullet"/>
      <w:lvlText w:val=""/>
      <w:lvlJc w:val="left"/>
      <w:pPr>
        <w:ind w:left="5922" w:hanging="360"/>
      </w:pPr>
      <w:rPr>
        <w:rFonts w:ascii="Symbol" w:hAnsi="Symbol" w:hint="default"/>
      </w:rPr>
    </w:lvl>
    <w:lvl w:ilvl="7" w:tplc="14090003" w:tentative="1">
      <w:start w:val="1"/>
      <w:numFmt w:val="bullet"/>
      <w:lvlText w:val="o"/>
      <w:lvlJc w:val="left"/>
      <w:pPr>
        <w:ind w:left="6642" w:hanging="360"/>
      </w:pPr>
      <w:rPr>
        <w:rFonts w:ascii="Courier New" w:hAnsi="Courier New" w:cs="Courier New" w:hint="default"/>
      </w:rPr>
    </w:lvl>
    <w:lvl w:ilvl="8" w:tplc="14090005" w:tentative="1">
      <w:start w:val="1"/>
      <w:numFmt w:val="bullet"/>
      <w:lvlText w:val=""/>
      <w:lvlJc w:val="left"/>
      <w:pPr>
        <w:ind w:left="7362" w:hanging="360"/>
      </w:pPr>
      <w:rPr>
        <w:rFonts w:ascii="Wingdings" w:hAnsi="Wingdings" w:hint="default"/>
      </w:rPr>
    </w:lvl>
  </w:abstractNum>
  <w:abstractNum w:abstractNumId="2">
    <w:nsid w:val="22B95DEB"/>
    <w:multiLevelType w:val="hybridMultilevel"/>
    <w:tmpl w:val="93325918"/>
    <w:lvl w:ilvl="0" w:tplc="0FD4BB8C">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AC912ED"/>
    <w:multiLevelType w:val="hybridMultilevel"/>
    <w:tmpl w:val="652816BA"/>
    <w:lvl w:ilvl="0" w:tplc="34F02AA4">
      <w:start w:val="1"/>
      <w:numFmt w:val="bullet"/>
      <w:pStyle w:val="Bullet"/>
      <w:lvlText w:val=""/>
      <w:lvlJc w:val="left"/>
      <w:pPr>
        <w:tabs>
          <w:tab w:val="num" w:pos="284"/>
        </w:tabs>
        <w:ind w:left="284" w:hanging="284"/>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0A269E4"/>
    <w:multiLevelType w:val="hybridMultilevel"/>
    <w:tmpl w:val="18A6132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9AF227E"/>
    <w:multiLevelType w:val="hybridMultilevel"/>
    <w:tmpl w:val="E75EC7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B197825"/>
    <w:multiLevelType w:val="hybridMultilevel"/>
    <w:tmpl w:val="E558F0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FC52C34"/>
    <w:multiLevelType w:val="hybridMultilevel"/>
    <w:tmpl w:val="E34A3C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6233AAB"/>
    <w:multiLevelType w:val="multilevel"/>
    <w:tmpl w:val="EA8A5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PicBulletId w:val="0"/>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A006EAC"/>
    <w:multiLevelType w:val="hybridMultilevel"/>
    <w:tmpl w:val="0E1EDAF4"/>
    <w:lvl w:ilvl="0" w:tplc="1B94426C">
      <w:start w:val="1"/>
      <w:numFmt w:val="bullet"/>
      <w:pStyle w:val="TableBullet"/>
      <w:lvlText w:val=""/>
      <w:lvlJc w:val="left"/>
      <w:pPr>
        <w:tabs>
          <w:tab w:val="num" w:pos="284"/>
        </w:tabs>
        <w:ind w:left="284" w:hanging="284"/>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698F4F50"/>
    <w:multiLevelType w:val="multilevel"/>
    <w:tmpl w:val="08E2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9950BF1"/>
    <w:multiLevelType w:val="multilevel"/>
    <w:tmpl w:val="A2A8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PicBulletId w:val="1"/>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B3C088D"/>
    <w:multiLevelType w:val="hybridMultilevel"/>
    <w:tmpl w:val="8374912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3">
    <w:nsid w:val="7C28664D"/>
    <w:multiLevelType w:val="multilevel"/>
    <w:tmpl w:val="C4E06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PicBulletId w:val="3"/>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7E16545C"/>
    <w:multiLevelType w:val="hybridMultilevel"/>
    <w:tmpl w:val="374248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ED8090E"/>
    <w:multiLevelType w:val="hybridMultilevel"/>
    <w:tmpl w:val="077801B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9"/>
  </w:num>
  <w:num w:numId="5">
    <w:abstractNumId w:val="2"/>
  </w:num>
  <w:num w:numId="6">
    <w:abstractNumId w:val="9"/>
  </w:num>
  <w:num w:numId="7">
    <w:abstractNumId w:val="9"/>
  </w:num>
  <w:num w:numId="8">
    <w:abstractNumId w:val="9"/>
  </w:num>
  <w:num w:numId="9">
    <w:abstractNumId w:val="9"/>
  </w:num>
  <w:num w:numId="10">
    <w:abstractNumId w:val="12"/>
  </w:num>
  <w:num w:numId="11">
    <w:abstractNumId w:val="15"/>
  </w:num>
  <w:num w:numId="12">
    <w:abstractNumId w:val="8"/>
  </w:num>
  <w:num w:numId="13">
    <w:abstractNumId w:val="11"/>
  </w:num>
  <w:num w:numId="14">
    <w:abstractNumId w:val="10"/>
  </w:num>
  <w:num w:numId="15">
    <w:abstractNumId w:val="13"/>
  </w:num>
  <w:num w:numId="16">
    <w:abstractNumId w:val="7"/>
  </w:num>
  <w:num w:numId="17">
    <w:abstractNumId w:val="1"/>
  </w:num>
  <w:num w:numId="18">
    <w:abstractNumId w:val="6"/>
  </w:num>
  <w:num w:numId="19">
    <w:abstractNumId w:val="5"/>
  </w:num>
  <w:num w:numId="20">
    <w:abstractNumId w:val="14"/>
  </w:num>
  <w:num w:numId="21">
    <w:abstractNumId w:val="4"/>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766"/>
    <w:rsid w:val="00012551"/>
    <w:rsid w:val="00094058"/>
    <w:rsid w:val="000B36C7"/>
    <w:rsid w:val="000E5D97"/>
    <w:rsid w:val="000E68C3"/>
    <w:rsid w:val="00141E73"/>
    <w:rsid w:val="00166853"/>
    <w:rsid w:val="001A4380"/>
    <w:rsid w:val="001B3FE1"/>
    <w:rsid w:val="001E60F4"/>
    <w:rsid w:val="0020244A"/>
    <w:rsid w:val="002123FB"/>
    <w:rsid w:val="0021656C"/>
    <w:rsid w:val="00226FB5"/>
    <w:rsid w:val="002E65D7"/>
    <w:rsid w:val="002F42F5"/>
    <w:rsid w:val="00311B21"/>
    <w:rsid w:val="00316F0B"/>
    <w:rsid w:val="0036013D"/>
    <w:rsid w:val="00380C9D"/>
    <w:rsid w:val="003A610A"/>
    <w:rsid w:val="003A789C"/>
    <w:rsid w:val="00454BF0"/>
    <w:rsid w:val="00460FDC"/>
    <w:rsid w:val="00471945"/>
    <w:rsid w:val="004E33BE"/>
    <w:rsid w:val="004E57F0"/>
    <w:rsid w:val="0053318C"/>
    <w:rsid w:val="005677B3"/>
    <w:rsid w:val="0058579C"/>
    <w:rsid w:val="005A2C37"/>
    <w:rsid w:val="005A2F28"/>
    <w:rsid w:val="005B43FD"/>
    <w:rsid w:val="005C0C64"/>
    <w:rsid w:val="005E0863"/>
    <w:rsid w:val="005E72BE"/>
    <w:rsid w:val="00645B55"/>
    <w:rsid w:val="00696D5C"/>
    <w:rsid w:val="006F16F8"/>
    <w:rsid w:val="007924D7"/>
    <w:rsid w:val="007969FD"/>
    <w:rsid w:val="007C6D17"/>
    <w:rsid w:val="007E170E"/>
    <w:rsid w:val="007E7084"/>
    <w:rsid w:val="00820314"/>
    <w:rsid w:val="00881F7F"/>
    <w:rsid w:val="008F34A6"/>
    <w:rsid w:val="008F4FC4"/>
    <w:rsid w:val="009138C8"/>
    <w:rsid w:val="00914627"/>
    <w:rsid w:val="009675FB"/>
    <w:rsid w:val="009866FE"/>
    <w:rsid w:val="009927E5"/>
    <w:rsid w:val="009D7EA6"/>
    <w:rsid w:val="00A0341B"/>
    <w:rsid w:val="00A1258E"/>
    <w:rsid w:val="00A52CD6"/>
    <w:rsid w:val="00A55719"/>
    <w:rsid w:val="00AA7E28"/>
    <w:rsid w:val="00AB293B"/>
    <w:rsid w:val="00AB3085"/>
    <w:rsid w:val="00AC7C08"/>
    <w:rsid w:val="00AF3065"/>
    <w:rsid w:val="00AF3BC9"/>
    <w:rsid w:val="00B565A5"/>
    <w:rsid w:val="00B65D6D"/>
    <w:rsid w:val="00B66708"/>
    <w:rsid w:val="00BB2BD7"/>
    <w:rsid w:val="00BC1DA5"/>
    <w:rsid w:val="00BC662C"/>
    <w:rsid w:val="00C36766"/>
    <w:rsid w:val="00C56410"/>
    <w:rsid w:val="00C663EB"/>
    <w:rsid w:val="00C901B2"/>
    <w:rsid w:val="00C91B04"/>
    <w:rsid w:val="00D21AF5"/>
    <w:rsid w:val="00D339F5"/>
    <w:rsid w:val="00D35BED"/>
    <w:rsid w:val="00DD69A8"/>
    <w:rsid w:val="00DD749D"/>
    <w:rsid w:val="00E1572D"/>
    <w:rsid w:val="00E50A4D"/>
    <w:rsid w:val="00E85798"/>
    <w:rsid w:val="00E90D8B"/>
    <w:rsid w:val="00EF6F4C"/>
    <w:rsid w:val="00F16083"/>
    <w:rsid w:val="00F3258F"/>
    <w:rsid w:val="00F52BC5"/>
    <w:rsid w:val="00FA665E"/>
    <w:rsid w:val="00FB1265"/>
    <w:rsid w:val="00FF2F0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D85CA"/>
  <w15:docId w15:val="{9C160B83-63A2-4090-BCA0-61604F834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766"/>
    <w:pPr>
      <w:spacing w:after="0" w:line="240" w:lineRule="auto"/>
    </w:pPr>
    <w:rPr>
      <w:rFonts w:eastAsia="Times New Roman" w:cs="Angsana New"/>
      <w:sz w:val="20"/>
      <w:szCs w:val="24"/>
      <w:lang w:bidi="th-TH"/>
    </w:rPr>
  </w:style>
  <w:style w:type="paragraph" w:styleId="Heading1">
    <w:name w:val="heading 1"/>
    <w:basedOn w:val="Normal"/>
    <w:next w:val="Normal"/>
    <w:link w:val="Heading1Char"/>
    <w:qFormat/>
    <w:rsid w:val="00C36766"/>
    <w:pPr>
      <w:keepNext/>
      <w:spacing w:before="240" w:after="120"/>
      <w:outlineLvl w:val="0"/>
    </w:pPr>
    <w:rPr>
      <w:rFonts w:cs="Arial"/>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6766"/>
    <w:rPr>
      <w:rFonts w:eastAsia="Times New Roman" w:cs="Arial"/>
      <w:b/>
      <w:bCs/>
      <w:szCs w:val="24"/>
      <w:lang w:bidi="th-TH"/>
    </w:rPr>
  </w:style>
  <w:style w:type="table" w:styleId="TableGrid">
    <w:name w:val="Table Grid"/>
    <w:basedOn w:val="TableNormal"/>
    <w:uiPriority w:val="39"/>
    <w:rsid w:val="00C36766"/>
    <w:pPr>
      <w:spacing w:after="0" w:line="240" w:lineRule="auto"/>
    </w:pPr>
    <w:rPr>
      <w:rFonts w:ascii="Times New Roman" w:eastAsia="Times New Roman" w:hAnsi="Times New Roman" w:cs="Times New Roman"/>
      <w:sz w:val="20"/>
      <w:szCs w:val="20"/>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C36766"/>
    <w:pPr>
      <w:tabs>
        <w:tab w:val="right" w:pos="9639"/>
        <w:tab w:val="right" w:pos="10206"/>
      </w:tabs>
    </w:pPr>
    <w:rPr>
      <w:sz w:val="18"/>
    </w:rPr>
  </w:style>
  <w:style w:type="character" w:customStyle="1" w:styleId="FooterChar">
    <w:name w:val="Footer Char"/>
    <w:basedOn w:val="DefaultParagraphFont"/>
    <w:link w:val="Footer"/>
    <w:rsid w:val="00C36766"/>
    <w:rPr>
      <w:rFonts w:eastAsia="Times New Roman" w:cs="Angsana New"/>
      <w:sz w:val="18"/>
      <w:szCs w:val="24"/>
      <w:lang w:bidi="th-TH"/>
    </w:rPr>
  </w:style>
  <w:style w:type="paragraph" w:customStyle="1" w:styleId="TableText">
    <w:name w:val="TableText"/>
    <w:basedOn w:val="Normal"/>
    <w:rsid w:val="00C36766"/>
    <w:pPr>
      <w:spacing w:before="80" w:after="80"/>
    </w:pPr>
  </w:style>
  <w:style w:type="paragraph" w:customStyle="1" w:styleId="Bullet">
    <w:name w:val="Bullet"/>
    <w:basedOn w:val="Normal"/>
    <w:rsid w:val="00C36766"/>
    <w:pPr>
      <w:numPr>
        <w:numId w:val="1"/>
      </w:numPr>
      <w:spacing w:before="120"/>
    </w:pPr>
  </w:style>
  <w:style w:type="paragraph" w:customStyle="1" w:styleId="TableBullet">
    <w:name w:val="TableBullet"/>
    <w:basedOn w:val="TableText"/>
    <w:rsid w:val="00C36766"/>
    <w:pPr>
      <w:numPr>
        <w:numId w:val="2"/>
      </w:numPr>
    </w:pPr>
  </w:style>
  <w:style w:type="character" w:styleId="PageNumber">
    <w:name w:val="page number"/>
    <w:basedOn w:val="DefaultParagraphFont"/>
    <w:rsid w:val="00C36766"/>
  </w:style>
  <w:style w:type="paragraph" w:styleId="BalloonText">
    <w:name w:val="Balloon Text"/>
    <w:basedOn w:val="Normal"/>
    <w:link w:val="BalloonTextChar"/>
    <w:uiPriority w:val="99"/>
    <w:semiHidden/>
    <w:unhideWhenUsed/>
    <w:rsid w:val="00C36766"/>
    <w:rPr>
      <w:rFonts w:ascii="Tahoma" w:hAnsi="Tahoma"/>
      <w:sz w:val="16"/>
      <w:szCs w:val="20"/>
    </w:rPr>
  </w:style>
  <w:style w:type="character" w:customStyle="1" w:styleId="BalloonTextChar">
    <w:name w:val="Balloon Text Char"/>
    <w:basedOn w:val="DefaultParagraphFont"/>
    <w:link w:val="BalloonText"/>
    <w:uiPriority w:val="99"/>
    <w:semiHidden/>
    <w:rsid w:val="00C36766"/>
    <w:rPr>
      <w:rFonts w:ascii="Tahoma" w:eastAsia="Times New Roman" w:hAnsi="Tahoma" w:cs="Angsana New"/>
      <w:sz w:val="16"/>
      <w:szCs w:val="20"/>
      <w:lang w:bidi="th-TH"/>
    </w:rPr>
  </w:style>
  <w:style w:type="character" w:styleId="CommentReference">
    <w:name w:val="annotation reference"/>
    <w:basedOn w:val="DefaultParagraphFont"/>
    <w:uiPriority w:val="99"/>
    <w:semiHidden/>
    <w:unhideWhenUsed/>
    <w:rsid w:val="007E170E"/>
    <w:rPr>
      <w:sz w:val="16"/>
      <w:szCs w:val="16"/>
    </w:rPr>
  </w:style>
  <w:style w:type="paragraph" w:styleId="CommentText">
    <w:name w:val="annotation text"/>
    <w:basedOn w:val="Normal"/>
    <w:link w:val="CommentTextChar"/>
    <w:uiPriority w:val="99"/>
    <w:unhideWhenUsed/>
    <w:rsid w:val="007E170E"/>
    <w:rPr>
      <w:szCs w:val="25"/>
    </w:rPr>
  </w:style>
  <w:style w:type="character" w:customStyle="1" w:styleId="CommentTextChar">
    <w:name w:val="Comment Text Char"/>
    <w:basedOn w:val="DefaultParagraphFont"/>
    <w:link w:val="CommentText"/>
    <w:uiPriority w:val="99"/>
    <w:rsid w:val="007E170E"/>
    <w:rPr>
      <w:rFonts w:eastAsia="Times New Roman" w:cs="Angsana New"/>
      <w:sz w:val="20"/>
      <w:szCs w:val="25"/>
      <w:lang w:bidi="th-TH"/>
    </w:rPr>
  </w:style>
  <w:style w:type="paragraph" w:styleId="CommentSubject">
    <w:name w:val="annotation subject"/>
    <w:basedOn w:val="CommentText"/>
    <w:next w:val="CommentText"/>
    <w:link w:val="CommentSubjectChar"/>
    <w:uiPriority w:val="99"/>
    <w:semiHidden/>
    <w:unhideWhenUsed/>
    <w:rsid w:val="007E170E"/>
    <w:rPr>
      <w:b/>
      <w:bCs/>
    </w:rPr>
  </w:style>
  <w:style w:type="character" w:customStyle="1" w:styleId="CommentSubjectChar">
    <w:name w:val="Comment Subject Char"/>
    <w:basedOn w:val="CommentTextChar"/>
    <w:link w:val="CommentSubject"/>
    <w:uiPriority w:val="99"/>
    <w:semiHidden/>
    <w:rsid w:val="007E170E"/>
    <w:rPr>
      <w:rFonts w:eastAsia="Times New Roman" w:cs="Angsana New"/>
      <w:b/>
      <w:bCs/>
      <w:sz w:val="20"/>
      <w:szCs w:val="25"/>
      <w:lang w:bidi="th-TH"/>
    </w:rPr>
  </w:style>
  <w:style w:type="paragraph" w:styleId="Header">
    <w:name w:val="header"/>
    <w:basedOn w:val="Normal"/>
    <w:link w:val="HeaderChar"/>
    <w:uiPriority w:val="99"/>
    <w:unhideWhenUsed/>
    <w:rsid w:val="00141E73"/>
    <w:pPr>
      <w:tabs>
        <w:tab w:val="center" w:pos="4513"/>
        <w:tab w:val="right" w:pos="9026"/>
      </w:tabs>
    </w:pPr>
  </w:style>
  <w:style w:type="character" w:customStyle="1" w:styleId="HeaderChar">
    <w:name w:val="Header Char"/>
    <w:basedOn w:val="DefaultParagraphFont"/>
    <w:link w:val="Header"/>
    <w:uiPriority w:val="99"/>
    <w:rsid w:val="00141E73"/>
    <w:rPr>
      <w:rFonts w:eastAsia="Times New Roman" w:cs="Angsana New"/>
      <w:sz w:val="20"/>
      <w:szCs w:val="24"/>
      <w:lang w:bidi="th-TH"/>
    </w:rPr>
  </w:style>
  <w:style w:type="paragraph" w:customStyle="1" w:styleId="Default">
    <w:name w:val="Default"/>
    <w:rsid w:val="00DD749D"/>
    <w:pPr>
      <w:autoSpaceDE w:val="0"/>
      <w:autoSpaceDN w:val="0"/>
      <w:adjustRightInd w:val="0"/>
      <w:spacing w:after="0" w:line="240" w:lineRule="auto"/>
    </w:pPr>
    <w:rPr>
      <w:rFonts w:cs="Arial"/>
      <w:color w:val="000000"/>
      <w:szCs w:val="24"/>
    </w:rPr>
  </w:style>
  <w:style w:type="paragraph" w:styleId="ListParagraph">
    <w:name w:val="List Paragraph"/>
    <w:basedOn w:val="Normal"/>
    <w:link w:val="ListParagraphChar"/>
    <w:uiPriority w:val="34"/>
    <w:qFormat/>
    <w:rsid w:val="00DD749D"/>
    <w:pPr>
      <w:spacing w:before="100" w:beforeAutospacing="1" w:after="100" w:afterAutospacing="1"/>
    </w:pPr>
    <w:rPr>
      <w:rFonts w:ascii="Times New Roman" w:hAnsi="Times New Roman" w:cs="Times New Roman"/>
      <w:sz w:val="24"/>
      <w:lang w:eastAsia="en-NZ" w:bidi="ar-SA"/>
    </w:rPr>
  </w:style>
  <w:style w:type="paragraph" w:styleId="NoSpacing">
    <w:name w:val="No Spacing"/>
    <w:uiPriority w:val="1"/>
    <w:qFormat/>
    <w:rsid w:val="003A610A"/>
    <w:pPr>
      <w:spacing w:after="0" w:line="240" w:lineRule="auto"/>
    </w:pPr>
    <w:rPr>
      <w:rFonts w:eastAsia="Times New Roman" w:cs="Angsana New"/>
      <w:sz w:val="20"/>
      <w:szCs w:val="24"/>
      <w:lang w:bidi="th-TH"/>
    </w:rPr>
  </w:style>
  <w:style w:type="paragraph" w:styleId="NormalWeb">
    <w:name w:val="Normal (Web)"/>
    <w:basedOn w:val="Normal"/>
    <w:uiPriority w:val="99"/>
    <w:semiHidden/>
    <w:unhideWhenUsed/>
    <w:rsid w:val="008F4FC4"/>
    <w:pPr>
      <w:spacing w:before="100" w:beforeAutospacing="1" w:after="100" w:afterAutospacing="1"/>
    </w:pPr>
    <w:rPr>
      <w:rFonts w:ascii="Times New Roman" w:hAnsi="Times New Roman" w:cs="Times New Roman"/>
      <w:sz w:val="24"/>
      <w:lang w:eastAsia="en-NZ" w:bidi="ar-SA"/>
    </w:rPr>
  </w:style>
  <w:style w:type="paragraph" w:customStyle="1" w:styleId="TableParagraph">
    <w:name w:val="Table Paragraph"/>
    <w:basedOn w:val="Normal"/>
    <w:uiPriority w:val="1"/>
    <w:qFormat/>
    <w:rsid w:val="005B43FD"/>
    <w:pPr>
      <w:widowControl w:val="0"/>
    </w:pPr>
    <w:rPr>
      <w:rFonts w:asciiTheme="minorHAnsi" w:eastAsiaTheme="minorHAnsi" w:hAnsiTheme="minorHAnsi" w:cstheme="minorBidi"/>
      <w:sz w:val="22"/>
      <w:szCs w:val="22"/>
      <w:lang w:val="en-US" w:bidi="ar-SA"/>
    </w:rPr>
  </w:style>
  <w:style w:type="paragraph" w:customStyle="1" w:styleId="JDbody">
    <w:name w:val="JD body"/>
    <w:basedOn w:val="Normal"/>
    <w:link w:val="JDbodyChar"/>
    <w:qFormat/>
    <w:rsid w:val="00D21AF5"/>
    <w:pPr>
      <w:spacing w:after="120"/>
    </w:pPr>
    <w:rPr>
      <w:rFonts w:eastAsia="Calibri" w:cs="Times New Roman"/>
      <w:color w:val="575757"/>
      <w:szCs w:val="20"/>
      <w:lang w:bidi="ar-SA"/>
    </w:rPr>
  </w:style>
  <w:style w:type="character" w:customStyle="1" w:styleId="JDbodyChar">
    <w:name w:val="JD body Char"/>
    <w:basedOn w:val="DefaultParagraphFont"/>
    <w:link w:val="JDbody"/>
    <w:rsid w:val="00D21AF5"/>
    <w:rPr>
      <w:rFonts w:eastAsia="Calibri" w:cs="Times New Roman"/>
      <w:color w:val="575757"/>
      <w:sz w:val="20"/>
      <w:szCs w:val="20"/>
    </w:rPr>
  </w:style>
  <w:style w:type="character" w:customStyle="1" w:styleId="ListParagraphChar">
    <w:name w:val="List Paragraph Char"/>
    <w:link w:val="ListParagraph"/>
    <w:uiPriority w:val="34"/>
    <w:rsid w:val="00094058"/>
    <w:rPr>
      <w:rFonts w:ascii="Times New Roman" w:eastAsia="Times New Roman" w:hAnsi="Times New Roman" w:cs="Times New Roman"/>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2491">
      <w:bodyDiv w:val="1"/>
      <w:marLeft w:val="0"/>
      <w:marRight w:val="0"/>
      <w:marTop w:val="0"/>
      <w:marBottom w:val="0"/>
      <w:divBdr>
        <w:top w:val="none" w:sz="0" w:space="0" w:color="auto"/>
        <w:left w:val="none" w:sz="0" w:space="0" w:color="auto"/>
        <w:bottom w:val="none" w:sz="0" w:space="0" w:color="auto"/>
        <w:right w:val="none" w:sz="0" w:space="0" w:color="auto"/>
      </w:divBdr>
    </w:div>
    <w:div w:id="1754858015">
      <w:bodyDiv w:val="1"/>
      <w:marLeft w:val="0"/>
      <w:marRight w:val="0"/>
      <w:marTop w:val="0"/>
      <w:marBottom w:val="0"/>
      <w:divBdr>
        <w:top w:val="none" w:sz="0" w:space="0" w:color="auto"/>
        <w:left w:val="none" w:sz="0" w:space="0" w:color="auto"/>
        <w:bottom w:val="none" w:sz="0" w:space="0" w:color="auto"/>
        <w:right w:val="none" w:sz="0" w:space="0" w:color="auto"/>
      </w:divBdr>
      <w:divsChild>
        <w:div w:id="1414469189">
          <w:marLeft w:val="0"/>
          <w:marRight w:val="0"/>
          <w:marTop w:val="0"/>
          <w:marBottom w:val="0"/>
          <w:divBdr>
            <w:top w:val="none" w:sz="0" w:space="0" w:color="auto"/>
            <w:left w:val="none" w:sz="0" w:space="0" w:color="auto"/>
            <w:bottom w:val="none" w:sz="0" w:space="0" w:color="auto"/>
            <w:right w:val="none" w:sz="0" w:space="0" w:color="auto"/>
          </w:divBdr>
          <w:divsChild>
            <w:div w:id="1123616797">
              <w:marLeft w:val="0"/>
              <w:marRight w:val="0"/>
              <w:marTop w:val="0"/>
              <w:marBottom w:val="0"/>
              <w:divBdr>
                <w:top w:val="none" w:sz="0" w:space="0" w:color="auto"/>
                <w:left w:val="none" w:sz="0" w:space="0" w:color="auto"/>
                <w:bottom w:val="none" w:sz="0" w:space="0" w:color="auto"/>
                <w:right w:val="none" w:sz="0" w:space="0" w:color="auto"/>
              </w:divBdr>
              <w:divsChild>
                <w:div w:id="1451049753">
                  <w:marLeft w:val="0"/>
                  <w:marRight w:val="0"/>
                  <w:marTop w:val="0"/>
                  <w:marBottom w:val="0"/>
                  <w:divBdr>
                    <w:top w:val="none" w:sz="0" w:space="0" w:color="auto"/>
                    <w:left w:val="none" w:sz="0" w:space="0" w:color="auto"/>
                    <w:bottom w:val="none" w:sz="0" w:space="0" w:color="auto"/>
                    <w:right w:val="none" w:sz="0" w:space="0" w:color="auto"/>
                  </w:divBdr>
                  <w:divsChild>
                    <w:div w:id="1671836811">
                      <w:marLeft w:val="0"/>
                      <w:marRight w:val="0"/>
                      <w:marTop w:val="0"/>
                      <w:marBottom w:val="0"/>
                      <w:divBdr>
                        <w:top w:val="none" w:sz="0" w:space="0" w:color="auto"/>
                        <w:left w:val="none" w:sz="0" w:space="0" w:color="auto"/>
                        <w:bottom w:val="none" w:sz="0" w:space="0" w:color="auto"/>
                        <w:right w:val="none" w:sz="0" w:space="0" w:color="auto"/>
                      </w:divBdr>
                      <w:divsChild>
                        <w:div w:id="1587886547">
                          <w:marLeft w:val="0"/>
                          <w:marRight w:val="0"/>
                          <w:marTop w:val="0"/>
                          <w:marBottom w:val="0"/>
                          <w:divBdr>
                            <w:top w:val="none" w:sz="0" w:space="0" w:color="auto"/>
                            <w:left w:val="none" w:sz="0" w:space="0" w:color="auto"/>
                            <w:bottom w:val="none" w:sz="0" w:space="0" w:color="auto"/>
                            <w:right w:val="none" w:sz="0" w:space="0" w:color="auto"/>
                          </w:divBdr>
                          <w:divsChild>
                            <w:div w:id="205410042">
                              <w:marLeft w:val="0"/>
                              <w:marRight w:val="-14940"/>
                              <w:marTop w:val="0"/>
                              <w:marBottom w:val="0"/>
                              <w:divBdr>
                                <w:top w:val="none" w:sz="0" w:space="0" w:color="auto"/>
                                <w:left w:val="none" w:sz="0" w:space="0" w:color="auto"/>
                                <w:bottom w:val="none" w:sz="0" w:space="0" w:color="auto"/>
                                <w:right w:val="none" w:sz="0" w:space="0" w:color="auto"/>
                              </w:divBdr>
                              <w:divsChild>
                                <w:div w:id="1210648797">
                                  <w:marLeft w:val="0"/>
                                  <w:marRight w:val="0"/>
                                  <w:marTop w:val="0"/>
                                  <w:marBottom w:val="0"/>
                                  <w:divBdr>
                                    <w:top w:val="none" w:sz="0" w:space="0" w:color="auto"/>
                                    <w:left w:val="none" w:sz="0" w:space="0" w:color="auto"/>
                                    <w:bottom w:val="none" w:sz="0" w:space="0" w:color="auto"/>
                                    <w:right w:val="none" w:sz="0" w:space="0" w:color="auto"/>
                                  </w:divBdr>
                                  <w:divsChild>
                                    <w:div w:id="1742673456">
                                      <w:marLeft w:val="0"/>
                                      <w:marRight w:val="0"/>
                                      <w:marTop w:val="0"/>
                                      <w:marBottom w:val="0"/>
                                      <w:divBdr>
                                        <w:top w:val="none" w:sz="0" w:space="0" w:color="auto"/>
                                        <w:left w:val="none" w:sz="0" w:space="0" w:color="auto"/>
                                        <w:bottom w:val="none" w:sz="0" w:space="0" w:color="auto"/>
                                        <w:right w:val="none" w:sz="0" w:space="0" w:color="auto"/>
                                      </w:divBdr>
                                      <w:divsChild>
                                        <w:div w:id="1307079003">
                                          <w:marLeft w:val="0"/>
                                          <w:marRight w:val="0"/>
                                          <w:marTop w:val="0"/>
                                          <w:marBottom w:val="0"/>
                                          <w:divBdr>
                                            <w:top w:val="none" w:sz="0" w:space="0" w:color="auto"/>
                                            <w:left w:val="none" w:sz="0" w:space="0" w:color="auto"/>
                                            <w:bottom w:val="none" w:sz="0" w:space="0" w:color="auto"/>
                                            <w:right w:val="none" w:sz="0" w:space="0" w:color="auto"/>
                                          </w:divBdr>
                                          <w:divsChild>
                                            <w:div w:id="1072587168">
                                              <w:marLeft w:val="0"/>
                                              <w:marRight w:val="0"/>
                                              <w:marTop w:val="0"/>
                                              <w:marBottom w:val="0"/>
                                              <w:divBdr>
                                                <w:top w:val="none" w:sz="0" w:space="0" w:color="auto"/>
                                                <w:left w:val="none" w:sz="0" w:space="0" w:color="auto"/>
                                                <w:bottom w:val="none" w:sz="0" w:space="0" w:color="auto"/>
                                                <w:right w:val="none" w:sz="0" w:space="0" w:color="auto"/>
                                              </w:divBdr>
                                              <w:divsChild>
                                                <w:div w:id="1344824832">
                                                  <w:marLeft w:val="0"/>
                                                  <w:marRight w:val="0"/>
                                                  <w:marTop w:val="0"/>
                                                  <w:marBottom w:val="0"/>
                                                  <w:divBdr>
                                                    <w:top w:val="none" w:sz="0" w:space="0" w:color="auto"/>
                                                    <w:left w:val="none" w:sz="0" w:space="0" w:color="auto"/>
                                                    <w:bottom w:val="none" w:sz="0" w:space="0" w:color="auto"/>
                                                    <w:right w:val="none" w:sz="0" w:space="0" w:color="auto"/>
                                                  </w:divBdr>
                                                  <w:divsChild>
                                                    <w:div w:id="736514719">
                                                      <w:marLeft w:val="0"/>
                                                      <w:marRight w:val="0"/>
                                                      <w:marTop w:val="0"/>
                                                      <w:marBottom w:val="0"/>
                                                      <w:divBdr>
                                                        <w:top w:val="none" w:sz="0" w:space="0" w:color="auto"/>
                                                        <w:left w:val="none" w:sz="0" w:space="0" w:color="auto"/>
                                                        <w:bottom w:val="none" w:sz="0" w:space="0" w:color="auto"/>
                                                        <w:right w:val="none" w:sz="0" w:space="0" w:color="auto"/>
                                                      </w:divBdr>
                                                      <w:divsChild>
                                                        <w:div w:id="2097241159">
                                                          <w:marLeft w:val="0"/>
                                                          <w:marRight w:val="0"/>
                                                          <w:marTop w:val="0"/>
                                                          <w:marBottom w:val="0"/>
                                                          <w:divBdr>
                                                            <w:top w:val="none" w:sz="0" w:space="0" w:color="auto"/>
                                                            <w:left w:val="none" w:sz="0" w:space="0" w:color="auto"/>
                                                            <w:bottom w:val="none" w:sz="0" w:space="0" w:color="auto"/>
                                                            <w:right w:val="none" w:sz="0" w:space="0" w:color="auto"/>
                                                          </w:divBdr>
                                                          <w:divsChild>
                                                            <w:div w:id="1240292582">
                                                              <w:marLeft w:val="0"/>
                                                              <w:marRight w:val="0"/>
                                                              <w:marTop w:val="0"/>
                                                              <w:marBottom w:val="0"/>
                                                              <w:divBdr>
                                                                <w:top w:val="none" w:sz="0" w:space="0" w:color="auto"/>
                                                                <w:left w:val="none" w:sz="0" w:space="0" w:color="auto"/>
                                                                <w:bottom w:val="none" w:sz="0" w:space="0" w:color="auto"/>
                                                                <w:right w:val="none" w:sz="0" w:space="0" w:color="auto"/>
                                                              </w:divBdr>
                                                              <w:divsChild>
                                                                <w:div w:id="2074501686">
                                                                  <w:marLeft w:val="0"/>
                                                                  <w:marRight w:val="0"/>
                                                                  <w:marTop w:val="0"/>
                                                                  <w:marBottom w:val="0"/>
                                                                  <w:divBdr>
                                                                    <w:top w:val="none" w:sz="0" w:space="0" w:color="auto"/>
                                                                    <w:left w:val="none" w:sz="0" w:space="0" w:color="auto"/>
                                                                    <w:bottom w:val="none" w:sz="0" w:space="0" w:color="auto"/>
                                                                    <w:right w:val="none" w:sz="0" w:space="0" w:color="auto"/>
                                                                  </w:divBdr>
                                                                  <w:divsChild>
                                                                    <w:div w:id="1503400130">
                                                                      <w:marLeft w:val="0"/>
                                                                      <w:marRight w:val="0"/>
                                                                      <w:marTop w:val="0"/>
                                                                      <w:marBottom w:val="0"/>
                                                                      <w:divBdr>
                                                                        <w:top w:val="none" w:sz="0" w:space="0" w:color="auto"/>
                                                                        <w:left w:val="none" w:sz="0" w:space="0" w:color="auto"/>
                                                                        <w:bottom w:val="none" w:sz="0" w:space="0" w:color="auto"/>
                                                                        <w:right w:val="none" w:sz="0" w:space="0" w:color="auto"/>
                                                                      </w:divBdr>
                                                                      <w:divsChild>
                                                                        <w:div w:id="290672484">
                                                                          <w:marLeft w:val="0"/>
                                                                          <w:marRight w:val="0"/>
                                                                          <w:marTop w:val="0"/>
                                                                          <w:marBottom w:val="0"/>
                                                                          <w:divBdr>
                                                                            <w:top w:val="none" w:sz="0" w:space="0" w:color="auto"/>
                                                                            <w:left w:val="none" w:sz="0" w:space="0" w:color="auto"/>
                                                                            <w:bottom w:val="none" w:sz="0" w:space="0" w:color="auto"/>
                                                                            <w:right w:val="none" w:sz="0" w:space="0" w:color="auto"/>
                                                                          </w:divBdr>
                                                                          <w:divsChild>
                                                                            <w:div w:id="956061923">
                                                                              <w:marLeft w:val="0"/>
                                                                              <w:marRight w:val="0"/>
                                                                              <w:marTop w:val="0"/>
                                                                              <w:marBottom w:val="0"/>
                                                                              <w:divBdr>
                                                                                <w:top w:val="none" w:sz="0" w:space="0" w:color="auto"/>
                                                                                <w:left w:val="none" w:sz="0" w:space="0" w:color="auto"/>
                                                                                <w:bottom w:val="none" w:sz="0" w:space="0" w:color="auto"/>
                                                                                <w:right w:val="none" w:sz="0" w:space="0" w:color="auto"/>
                                                                              </w:divBdr>
                                                                              <w:divsChild>
                                                                                <w:div w:id="947734274">
                                                                                  <w:marLeft w:val="0"/>
                                                                                  <w:marRight w:val="0"/>
                                                                                  <w:marTop w:val="0"/>
                                                                                  <w:marBottom w:val="0"/>
                                                                                  <w:divBdr>
                                                                                    <w:top w:val="none" w:sz="0" w:space="0" w:color="auto"/>
                                                                                    <w:left w:val="none" w:sz="0" w:space="0" w:color="auto"/>
                                                                                    <w:bottom w:val="none" w:sz="0" w:space="0" w:color="auto"/>
                                                                                    <w:right w:val="none" w:sz="0" w:space="0" w:color="auto"/>
                                                                                  </w:divBdr>
                                                                                  <w:divsChild>
                                                                                    <w:div w:id="1848246927">
                                                                                      <w:marLeft w:val="0"/>
                                                                                      <w:marRight w:val="0"/>
                                                                                      <w:marTop w:val="0"/>
                                                                                      <w:marBottom w:val="0"/>
                                                                                      <w:divBdr>
                                                                                        <w:top w:val="none" w:sz="0" w:space="0" w:color="auto"/>
                                                                                        <w:left w:val="none" w:sz="0" w:space="0" w:color="auto"/>
                                                                                        <w:bottom w:val="none" w:sz="0" w:space="0" w:color="auto"/>
                                                                                        <w:right w:val="none" w:sz="0" w:space="0" w:color="auto"/>
                                                                                      </w:divBdr>
                                                                                      <w:divsChild>
                                                                                        <w:div w:id="174020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4B3DC-C99A-4B3F-BF22-8315E9410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653262D</Template>
  <TotalTime>216</TotalTime>
  <Pages>5</Pages>
  <Words>1800</Words>
  <Characters>10263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dc:creator>
  <cp:lastModifiedBy>Alice Ropata</cp:lastModifiedBy>
  <cp:revision>8</cp:revision>
  <cp:lastPrinted>2017-11-22T02:10:00Z</cp:lastPrinted>
  <dcterms:created xsi:type="dcterms:W3CDTF">2017-11-22T19:58:00Z</dcterms:created>
  <dcterms:modified xsi:type="dcterms:W3CDTF">2018-01-17T02:37:00Z</dcterms:modified>
</cp:coreProperties>
</file>